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73D" w14:textId="14103C52" w:rsidR="009B1762" w:rsidRDefault="009B1762" w:rsidP="00CD1C36">
      <w:pPr>
        <w:rPr>
          <w:rFonts w:ascii="Times New Roman" w:hAnsi="Times New Roman" w:cs="Times New Roman"/>
          <w:b/>
          <w:bCs/>
        </w:rPr>
      </w:pPr>
      <w:r w:rsidRPr="009B1762">
        <w:rPr>
          <w:rFonts w:ascii="Times New Roman" w:hAnsi="Times New Roman" w:cs="Times New Roman"/>
          <w:b/>
          <w:bCs/>
        </w:rPr>
        <w:t xml:space="preserve">Plainly Dissimilar </w:t>
      </w:r>
      <w:r w:rsidR="005A4749">
        <w:rPr>
          <w:rFonts w:ascii="Times New Roman" w:hAnsi="Times New Roman" w:cs="Times New Roman"/>
          <w:b/>
          <w:bCs/>
        </w:rPr>
        <w:t>is</w:t>
      </w:r>
      <w:r w:rsidRPr="009B1762">
        <w:rPr>
          <w:rFonts w:ascii="Times New Roman" w:hAnsi="Times New Roman" w:cs="Times New Roman"/>
          <w:b/>
          <w:bCs/>
        </w:rPr>
        <w:t xml:space="preserve"> Plainly Dysfunctional</w:t>
      </w:r>
      <w:r w:rsidRPr="009B1762">
        <w:rPr>
          <w:rFonts w:ascii="Times New Roman" w:hAnsi="Times New Roman" w:cs="Times New Roman"/>
          <w:b/>
          <w:bCs/>
        </w:rPr>
        <w:br/>
        <w:t xml:space="preserve">The Federal Circuit’s </w:t>
      </w:r>
      <w:r>
        <w:rPr>
          <w:rFonts w:ascii="Times New Roman" w:hAnsi="Times New Roman" w:cs="Times New Roman"/>
          <w:b/>
          <w:bCs/>
        </w:rPr>
        <w:t xml:space="preserve">Latest </w:t>
      </w:r>
      <w:r w:rsidRPr="009B1762">
        <w:rPr>
          <w:rFonts w:ascii="Times New Roman" w:hAnsi="Times New Roman" w:cs="Times New Roman"/>
          <w:b/>
          <w:bCs/>
        </w:rPr>
        <w:t>Use of Feature Filtration and Fact-Finding to Decide Design Patent Infringement</w:t>
      </w:r>
    </w:p>
    <w:p w14:paraId="33FD5B4C" w14:textId="278E09E4" w:rsidR="00B67E13" w:rsidRPr="00B67E13" w:rsidRDefault="00B67E13" w:rsidP="00B67E13">
      <w:pPr>
        <w:jc w:val="both"/>
        <w:rPr>
          <w:rFonts w:ascii="Times New Roman" w:hAnsi="Times New Roman" w:cs="Times New Roman"/>
        </w:rPr>
      </w:pPr>
      <w:r w:rsidRPr="00B67E13">
        <w:rPr>
          <w:rFonts w:ascii="Times New Roman" w:hAnsi="Times New Roman" w:cs="Times New Roman"/>
          <w:b/>
          <w:bCs/>
        </w:rPr>
        <w:t>Authors:</w:t>
      </w:r>
      <w:r w:rsidRPr="00B67E13">
        <w:rPr>
          <w:rFonts w:ascii="Times New Roman" w:hAnsi="Times New Roman" w:cs="Times New Roman"/>
        </w:rPr>
        <w:t xml:space="preserve"> Christopher V. Carani, Philipp Ruben, Sean Sparrow</w:t>
      </w:r>
    </w:p>
    <w:p w14:paraId="6271F3E3" w14:textId="4E8E6C01" w:rsidR="00614D84" w:rsidRPr="00531F2C" w:rsidRDefault="00B67E13" w:rsidP="00614D84">
      <w:pPr>
        <w:jc w:val="both"/>
        <w:rPr>
          <w:rFonts w:ascii="Times New Roman" w:hAnsi="Times New Roman" w:cs="Times New Roman"/>
        </w:rPr>
      </w:pPr>
      <w:r w:rsidRPr="00B67E13">
        <w:rPr>
          <w:rFonts w:ascii="Times New Roman" w:hAnsi="Times New Roman" w:cs="Times New Roman"/>
        </w:rPr>
        <w:t xml:space="preserve">In </w:t>
      </w:r>
      <w:r w:rsidRPr="00CD1C36">
        <w:rPr>
          <w:rFonts w:ascii="Times New Roman" w:hAnsi="Times New Roman" w:cs="Times New Roman"/>
          <w:b/>
          <w:bCs/>
          <w:i/>
          <w:iCs/>
        </w:rPr>
        <w:t xml:space="preserve">Range of Motion Products, LLC v. </w:t>
      </w:r>
      <w:proofErr w:type="spellStart"/>
      <w:r w:rsidRPr="00CD1C36">
        <w:rPr>
          <w:rFonts w:ascii="Times New Roman" w:hAnsi="Times New Roman" w:cs="Times New Roman"/>
          <w:b/>
          <w:bCs/>
          <w:i/>
          <w:iCs/>
        </w:rPr>
        <w:t>Armaid</w:t>
      </w:r>
      <w:proofErr w:type="spellEnd"/>
      <w:r w:rsidRPr="00CD1C36">
        <w:rPr>
          <w:rFonts w:ascii="Times New Roman" w:hAnsi="Times New Roman" w:cs="Times New Roman"/>
          <w:b/>
          <w:bCs/>
          <w:i/>
          <w:iCs/>
        </w:rPr>
        <w:t xml:space="preserve"> Company Inc.</w:t>
      </w:r>
      <w:r w:rsidRPr="00B67E13">
        <w:rPr>
          <w:rFonts w:ascii="Times New Roman" w:hAnsi="Times New Roman" w:cs="Times New Roman"/>
        </w:rPr>
        <w:t xml:space="preserve">, the U.S. Court of Appeals for the Federal Circuit </w:t>
      </w:r>
      <w:r w:rsidR="00CD1C36">
        <w:rPr>
          <w:rFonts w:ascii="Times New Roman" w:hAnsi="Times New Roman" w:cs="Times New Roman"/>
        </w:rPr>
        <w:t xml:space="preserve">recently </w:t>
      </w:r>
      <w:r w:rsidR="00E50216">
        <w:rPr>
          <w:rFonts w:ascii="Times New Roman" w:hAnsi="Times New Roman" w:cs="Times New Roman"/>
        </w:rPr>
        <w:t xml:space="preserve">upheld </w:t>
      </w:r>
      <w:r w:rsidRPr="00B67E13">
        <w:rPr>
          <w:rFonts w:ascii="Times New Roman" w:hAnsi="Times New Roman" w:cs="Times New Roman"/>
        </w:rPr>
        <w:t>the District of Maine’s grant of summary judgment of noninfringement in a design patent dispute involving handheld body-massaging devices. Range of Motion Products (“</w:t>
      </w:r>
      <w:proofErr w:type="spellStart"/>
      <w:r w:rsidRPr="00B67E13">
        <w:rPr>
          <w:rFonts w:ascii="Times New Roman" w:hAnsi="Times New Roman" w:cs="Times New Roman"/>
        </w:rPr>
        <w:t>RoM</w:t>
      </w:r>
      <w:proofErr w:type="spellEnd"/>
      <w:r w:rsidRPr="00B67E13">
        <w:rPr>
          <w:rFonts w:ascii="Times New Roman" w:hAnsi="Times New Roman" w:cs="Times New Roman"/>
        </w:rPr>
        <w:t xml:space="preserve">”) </w:t>
      </w:r>
      <w:r w:rsidR="00E50216">
        <w:rPr>
          <w:rFonts w:ascii="Times New Roman" w:hAnsi="Times New Roman" w:cs="Times New Roman"/>
        </w:rPr>
        <w:t>is the owner of</w:t>
      </w:r>
      <w:r w:rsidR="00E50216" w:rsidRPr="00B67E13">
        <w:rPr>
          <w:rFonts w:ascii="Times New Roman" w:hAnsi="Times New Roman" w:cs="Times New Roman"/>
        </w:rPr>
        <w:t xml:space="preserve"> </w:t>
      </w:r>
      <w:r w:rsidRPr="00B67E13">
        <w:rPr>
          <w:rFonts w:ascii="Times New Roman" w:hAnsi="Times New Roman" w:cs="Times New Roman"/>
        </w:rPr>
        <w:t>U.S. Design Patent No. D802,155, which is embodied in its commercially available “</w:t>
      </w:r>
      <w:proofErr w:type="spellStart"/>
      <w:r w:rsidRPr="00B67E13">
        <w:rPr>
          <w:rFonts w:ascii="Times New Roman" w:hAnsi="Times New Roman" w:cs="Times New Roman"/>
        </w:rPr>
        <w:t>Rolflex</w:t>
      </w:r>
      <w:proofErr w:type="spellEnd"/>
      <w:r w:rsidRPr="00B67E13">
        <w:rPr>
          <w:rFonts w:ascii="Times New Roman" w:hAnsi="Times New Roman" w:cs="Times New Roman"/>
        </w:rPr>
        <w:t xml:space="preserve">” massager. </w:t>
      </w:r>
      <w:proofErr w:type="spellStart"/>
      <w:r w:rsidRPr="00B67E13">
        <w:rPr>
          <w:rFonts w:ascii="Times New Roman" w:hAnsi="Times New Roman" w:cs="Times New Roman"/>
        </w:rPr>
        <w:t>Armaid</w:t>
      </w:r>
      <w:proofErr w:type="spellEnd"/>
      <w:r w:rsidRPr="00B67E13">
        <w:rPr>
          <w:rFonts w:ascii="Times New Roman" w:hAnsi="Times New Roman" w:cs="Times New Roman"/>
        </w:rPr>
        <w:t xml:space="preserve"> Company</w:t>
      </w:r>
      <w:r w:rsidR="00CD1C36">
        <w:rPr>
          <w:rFonts w:ascii="Times New Roman" w:hAnsi="Times New Roman" w:cs="Times New Roman"/>
        </w:rPr>
        <w:t xml:space="preserve"> Inc. (“</w:t>
      </w:r>
      <w:proofErr w:type="spellStart"/>
      <w:r w:rsidR="00CD1C36">
        <w:rPr>
          <w:rFonts w:ascii="Times New Roman" w:hAnsi="Times New Roman" w:cs="Times New Roman"/>
        </w:rPr>
        <w:t>Armaid</w:t>
      </w:r>
      <w:proofErr w:type="spellEnd"/>
      <w:r w:rsidR="00CD1C36">
        <w:rPr>
          <w:rFonts w:ascii="Times New Roman" w:hAnsi="Times New Roman" w:cs="Times New Roman"/>
        </w:rPr>
        <w:t>”)</w:t>
      </w:r>
      <w:r w:rsidRPr="00B67E13">
        <w:rPr>
          <w:rFonts w:ascii="Times New Roman" w:hAnsi="Times New Roman" w:cs="Times New Roman"/>
        </w:rPr>
        <w:t xml:space="preserve"> sells the accused product, the “</w:t>
      </w:r>
      <w:proofErr w:type="spellStart"/>
      <w:r w:rsidRPr="00B67E13">
        <w:rPr>
          <w:rFonts w:ascii="Times New Roman" w:hAnsi="Times New Roman" w:cs="Times New Roman"/>
        </w:rPr>
        <w:t>Armaid</w:t>
      </w:r>
      <w:proofErr w:type="spellEnd"/>
      <w:r w:rsidRPr="00B67E13">
        <w:rPr>
          <w:rFonts w:ascii="Times New Roman" w:hAnsi="Times New Roman" w:cs="Times New Roman"/>
        </w:rPr>
        <w:t xml:space="preserve"> 2,” and previously marketed a </w:t>
      </w:r>
      <w:r w:rsidR="00843064">
        <w:rPr>
          <w:rFonts w:ascii="Times New Roman" w:hAnsi="Times New Roman" w:cs="Times New Roman"/>
        </w:rPr>
        <w:t>similar</w:t>
      </w:r>
      <w:r w:rsidR="00843064" w:rsidRPr="00B67E13">
        <w:rPr>
          <w:rFonts w:ascii="Times New Roman" w:hAnsi="Times New Roman" w:cs="Times New Roman"/>
        </w:rPr>
        <w:t xml:space="preserve"> </w:t>
      </w:r>
      <w:r w:rsidRPr="00B67E13">
        <w:rPr>
          <w:rFonts w:ascii="Times New Roman" w:hAnsi="Times New Roman" w:cs="Times New Roman"/>
        </w:rPr>
        <w:t xml:space="preserve">device, the </w:t>
      </w:r>
      <w:r w:rsidR="00542097">
        <w:rPr>
          <w:rFonts w:ascii="Times New Roman" w:hAnsi="Times New Roman" w:cs="Times New Roman"/>
        </w:rPr>
        <w:t>“</w:t>
      </w:r>
      <w:proofErr w:type="spellStart"/>
      <w:r w:rsidR="00F67A6E" w:rsidRPr="00B67E13">
        <w:rPr>
          <w:rFonts w:ascii="Times New Roman" w:hAnsi="Times New Roman" w:cs="Times New Roman"/>
        </w:rPr>
        <w:t>Armaid</w:t>
      </w:r>
      <w:proofErr w:type="spellEnd"/>
      <w:r w:rsidR="00F67A6E" w:rsidRPr="00B67E13">
        <w:rPr>
          <w:rFonts w:ascii="Times New Roman" w:hAnsi="Times New Roman" w:cs="Times New Roman"/>
        </w:rPr>
        <w:t xml:space="preserve"> 1</w:t>
      </w:r>
      <w:r w:rsidR="00542097">
        <w:rPr>
          <w:rFonts w:ascii="Times New Roman" w:hAnsi="Times New Roman" w:cs="Times New Roman"/>
        </w:rPr>
        <w:t>”</w:t>
      </w:r>
      <w:r w:rsidRPr="00B67E13">
        <w:rPr>
          <w:rFonts w:ascii="Times New Roman" w:hAnsi="Times New Roman" w:cs="Times New Roman"/>
        </w:rPr>
        <w:t xml:space="preserve">, which </w:t>
      </w:r>
      <w:proofErr w:type="spellStart"/>
      <w:r w:rsidRPr="00B67E13">
        <w:rPr>
          <w:rFonts w:ascii="Times New Roman" w:hAnsi="Times New Roman" w:cs="Times New Roman"/>
        </w:rPr>
        <w:t>Armaid</w:t>
      </w:r>
      <w:proofErr w:type="spellEnd"/>
      <w:r w:rsidRPr="00B67E13">
        <w:rPr>
          <w:rFonts w:ascii="Times New Roman" w:hAnsi="Times New Roman" w:cs="Times New Roman"/>
        </w:rPr>
        <w:t xml:space="preserve"> asserts </w:t>
      </w:r>
      <w:r w:rsidR="00843064">
        <w:rPr>
          <w:rFonts w:ascii="Times New Roman" w:hAnsi="Times New Roman" w:cs="Times New Roman"/>
        </w:rPr>
        <w:t xml:space="preserve">is covered by </w:t>
      </w:r>
      <w:r w:rsidRPr="00B67E13">
        <w:rPr>
          <w:rFonts w:ascii="Times New Roman" w:hAnsi="Times New Roman" w:cs="Times New Roman"/>
        </w:rPr>
        <w:t>its U.S. Utility Patent No. 5,792,081.</w:t>
      </w:r>
      <w:r w:rsidR="00614D84" w:rsidRPr="00614D84">
        <w:rPr>
          <w:rFonts w:ascii="Times New Roman" w:hAnsi="Times New Roman" w:cs="Times New Roman"/>
        </w:rPr>
        <w:t xml:space="preserve"> </w:t>
      </w:r>
      <w:r w:rsidR="00614D84" w:rsidRPr="00531F2C">
        <w:rPr>
          <w:rFonts w:ascii="Times New Roman" w:hAnsi="Times New Roman" w:cs="Times New Roman"/>
        </w:rPr>
        <w:t xml:space="preserve">Below is a comparison of the </w:t>
      </w:r>
      <w:r w:rsidR="00614D84" w:rsidRPr="00B67E13">
        <w:rPr>
          <w:rFonts w:ascii="Times New Roman" w:hAnsi="Times New Roman" w:cs="Times New Roman"/>
        </w:rPr>
        <w:t>D’155 design patent</w:t>
      </w:r>
      <w:r w:rsidR="00614D84" w:rsidRPr="00531F2C">
        <w:rPr>
          <w:rFonts w:ascii="Times New Roman" w:hAnsi="Times New Roman" w:cs="Times New Roman"/>
        </w:rPr>
        <w:t xml:space="preserve">, and the </w:t>
      </w:r>
      <w:proofErr w:type="spellStart"/>
      <w:r w:rsidR="00F67A6E">
        <w:rPr>
          <w:rFonts w:ascii="Times New Roman" w:hAnsi="Times New Roman" w:cs="Times New Roman"/>
        </w:rPr>
        <w:t>Armaid</w:t>
      </w:r>
      <w:proofErr w:type="spellEnd"/>
      <w:r w:rsidR="00F67A6E">
        <w:rPr>
          <w:rFonts w:ascii="Times New Roman" w:hAnsi="Times New Roman" w:cs="Times New Roman"/>
        </w:rPr>
        <w:t xml:space="preserve"> 2 </w:t>
      </w:r>
      <w:r w:rsidR="00614D84" w:rsidRPr="00531F2C">
        <w:rPr>
          <w:rFonts w:ascii="Times New Roman" w:hAnsi="Times New Roman" w:cs="Times New Roman"/>
        </w:rPr>
        <w:t>accused design.</w:t>
      </w:r>
    </w:p>
    <w:p w14:paraId="48A6473F" w14:textId="77777777" w:rsidR="00614D84" w:rsidRPr="005B1962" w:rsidRDefault="00614D84" w:rsidP="004A2346">
      <w:pPr>
        <w:jc w:val="center"/>
        <w:rPr>
          <w:rFonts w:ascii="Times New Roman" w:hAnsi="Times New Roman" w:cs="Times New Roman"/>
        </w:rPr>
      </w:pPr>
      <w:r w:rsidRPr="005B1962">
        <w:rPr>
          <w:rFonts w:ascii="Times New Roman" w:hAnsi="Times New Roman" w:cs="Times New Roman"/>
          <w:noProof/>
        </w:rPr>
        <w:drawing>
          <wp:inline distT="0" distB="0" distL="0" distR="0" wp14:anchorId="079DCD97" wp14:editId="050BEA56">
            <wp:extent cx="3854450" cy="3932821"/>
            <wp:effectExtent l="0" t="0" r="0" b="0"/>
            <wp:docPr id="126819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2139"/>
                    <a:stretch>
                      <a:fillRect/>
                    </a:stretch>
                  </pic:blipFill>
                  <pic:spPr bwMode="auto">
                    <a:xfrm>
                      <a:off x="0" y="0"/>
                      <a:ext cx="3860341" cy="3938831"/>
                    </a:xfrm>
                    <a:prstGeom prst="rect">
                      <a:avLst/>
                    </a:prstGeom>
                    <a:noFill/>
                    <a:ln>
                      <a:noFill/>
                    </a:ln>
                    <a:extLst>
                      <a:ext uri="{53640926-AAD7-44D8-BBD7-CCE9431645EC}">
                        <a14:shadowObscured xmlns:a14="http://schemas.microsoft.com/office/drawing/2010/main"/>
                      </a:ext>
                    </a:extLst>
                  </pic:spPr>
                </pic:pic>
              </a:graphicData>
            </a:graphic>
          </wp:inline>
        </w:drawing>
      </w:r>
    </w:p>
    <w:p w14:paraId="4EBF6D54" w14:textId="0149A853" w:rsidR="00B67E13" w:rsidRPr="00B67E13" w:rsidRDefault="00B67E13" w:rsidP="00B67E13">
      <w:pPr>
        <w:jc w:val="both"/>
        <w:rPr>
          <w:rFonts w:ascii="Times New Roman" w:hAnsi="Times New Roman" w:cs="Times New Roman"/>
        </w:rPr>
      </w:pPr>
      <w:proofErr w:type="spellStart"/>
      <w:r w:rsidRPr="00B67E13">
        <w:rPr>
          <w:rFonts w:ascii="Times New Roman" w:hAnsi="Times New Roman" w:cs="Times New Roman"/>
        </w:rPr>
        <w:t>RoM</w:t>
      </w:r>
      <w:proofErr w:type="spellEnd"/>
      <w:r w:rsidRPr="00B67E13">
        <w:rPr>
          <w:rFonts w:ascii="Times New Roman" w:hAnsi="Times New Roman" w:cs="Times New Roman"/>
        </w:rPr>
        <w:t xml:space="preserve"> initially sued </w:t>
      </w:r>
      <w:proofErr w:type="spellStart"/>
      <w:r w:rsidRPr="00B67E13">
        <w:rPr>
          <w:rFonts w:ascii="Times New Roman" w:hAnsi="Times New Roman" w:cs="Times New Roman"/>
        </w:rPr>
        <w:t>Armaid</w:t>
      </w:r>
      <w:proofErr w:type="spellEnd"/>
      <w:r w:rsidRPr="00B67E13">
        <w:rPr>
          <w:rFonts w:ascii="Times New Roman" w:hAnsi="Times New Roman" w:cs="Times New Roman"/>
        </w:rPr>
        <w:t xml:space="preserve"> in 2021 for infringement of the D’155 design patent in the District of </w:t>
      </w:r>
      <w:proofErr w:type="gramStart"/>
      <w:r w:rsidRPr="00B67E13">
        <w:rPr>
          <w:rFonts w:ascii="Times New Roman" w:hAnsi="Times New Roman" w:cs="Times New Roman"/>
        </w:rPr>
        <w:t>Maine, but</w:t>
      </w:r>
      <w:proofErr w:type="gramEnd"/>
      <w:r w:rsidRPr="00B67E13">
        <w:rPr>
          <w:rFonts w:ascii="Times New Roman" w:hAnsi="Times New Roman" w:cs="Times New Roman"/>
        </w:rPr>
        <w:t xml:space="preserve"> stipulated to dismissal </w:t>
      </w:r>
      <w:r w:rsidR="00843064">
        <w:rPr>
          <w:rFonts w:ascii="Times New Roman" w:hAnsi="Times New Roman" w:cs="Times New Roman"/>
        </w:rPr>
        <w:t>following</w:t>
      </w:r>
      <w:r w:rsidR="00843064" w:rsidRPr="00B67E13">
        <w:rPr>
          <w:rFonts w:ascii="Times New Roman" w:hAnsi="Times New Roman" w:cs="Times New Roman"/>
        </w:rPr>
        <w:t xml:space="preserve"> </w:t>
      </w:r>
      <w:r w:rsidRPr="00B67E13">
        <w:rPr>
          <w:rFonts w:ascii="Times New Roman" w:hAnsi="Times New Roman" w:cs="Times New Roman"/>
        </w:rPr>
        <w:t>the district court</w:t>
      </w:r>
      <w:r w:rsidR="00843064">
        <w:rPr>
          <w:rFonts w:ascii="Times New Roman" w:hAnsi="Times New Roman" w:cs="Times New Roman"/>
        </w:rPr>
        <w:t>’s</w:t>
      </w:r>
      <w:r w:rsidRPr="00B67E13">
        <w:rPr>
          <w:rFonts w:ascii="Times New Roman" w:hAnsi="Times New Roman" w:cs="Times New Roman"/>
        </w:rPr>
        <w:t xml:space="preserve"> </w:t>
      </w:r>
      <w:r w:rsidR="00843064" w:rsidRPr="00B67E13">
        <w:rPr>
          <w:rFonts w:ascii="Times New Roman" w:hAnsi="Times New Roman" w:cs="Times New Roman"/>
        </w:rPr>
        <w:t>den</w:t>
      </w:r>
      <w:r w:rsidR="00843064">
        <w:rPr>
          <w:rFonts w:ascii="Times New Roman" w:hAnsi="Times New Roman" w:cs="Times New Roman"/>
        </w:rPr>
        <w:t>ial of</w:t>
      </w:r>
      <w:r w:rsidR="00843064" w:rsidRPr="00B67E13">
        <w:rPr>
          <w:rFonts w:ascii="Times New Roman" w:hAnsi="Times New Roman" w:cs="Times New Roman"/>
        </w:rPr>
        <w:t xml:space="preserve"> </w:t>
      </w:r>
      <w:proofErr w:type="spellStart"/>
      <w:r w:rsidRPr="00B67E13">
        <w:rPr>
          <w:rFonts w:ascii="Times New Roman" w:hAnsi="Times New Roman" w:cs="Times New Roman"/>
        </w:rPr>
        <w:t>RoM’s</w:t>
      </w:r>
      <w:proofErr w:type="spellEnd"/>
      <w:r w:rsidRPr="00B67E13">
        <w:rPr>
          <w:rFonts w:ascii="Times New Roman" w:hAnsi="Times New Roman" w:cs="Times New Roman"/>
        </w:rPr>
        <w:t xml:space="preserve"> motion for a preliminary injunction. </w:t>
      </w:r>
      <w:proofErr w:type="spellStart"/>
      <w:r w:rsidRPr="00B67E13">
        <w:rPr>
          <w:rFonts w:ascii="Times New Roman" w:hAnsi="Times New Roman" w:cs="Times New Roman"/>
        </w:rPr>
        <w:t>RoM</w:t>
      </w:r>
      <w:proofErr w:type="spellEnd"/>
      <w:r w:rsidRPr="00B67E13">
        <w:rPr>
          <w:rFonts w:ascii="Times New Roman" w:hAnsi="Times New Roman" w:cs="Times New Roman"/>
        </w:rPr>
        <w:t xml:space="preserve"> refiled its </w:t>
      </w:r>
      <w:r w:rsidR="00843064">
        <w:rPr>
          <w:rFonts w:ascii="Times New Roman" w:hAnsi="Times New Roman" w:cs="Times New Roman"/>
        </w:rPr>
        <w:t xml:space="preserve">claims for </w:t>
      </w:r>
      <w:r w:rsidRPr="00B67E13">
        <w:rPr>
          <w:rFonts w:ascii="Times New Roman" w:hAnsi="Times New Roman" w:cs="Times New Roman"/>
        </w:rPr>
        <w:t xml:space="preserve">design patent infringement </w:t>
      </w:r>
      <w:r w:rsidR="00843064">
        <w:rPr>
          <w:rFonts w:ascii="Times New Roman" w:hAnsi="Times New Roman" w:cs="Times New Roman"/>
        </w:rPr>
        <w:t>a year later</w:t>
      </w:r>
      <w:r w:rsidR="00AC7B3F">
        <w:rPr>
          <w:rFonts w:ascii="Times New Roman" w:hAnsi="Times New Roman" w:cs="Times New Roman"/>
        </w:rPr>
        <w:t xml:space="preserve"> </w:t>
      </w:r>
      <w:r w:rsidRPr="00B67E13">
        <w:rPr>
          <w:rFonts w:ascii="Times New Roman" w:hAnsi="Times New Roman" w:cs="Times New Roman"/>
        </w:rPr>
        <w:t xml:space="preserve">in 2022. The district court granted summary judgment </w:t>
      </w:r>
      <w:r w:rsidR="009B1762">
        <w:rPr>
          <w:rFonts w:ascii="Times New Roman" w:hAnsi="Times New Roman" w:cs="Times New Roman"/>
        </w:rPr>
        <w:t xml:space="preserve">of </w:t>
      </w:r>
      <w:r w:rsidR="00F67A6E">
        <w:rPr>
          <w:rFonts w:ascii="Times New Roman" w:hAnsi="Times New Roman" w:cs="Times New Roman"/>
        </w:rPr>
        <w:t xml:space="preserve">noninfringement </w:t>
      </w:r>
      <w:r w:rsidRPr="00B67E13">
        <w:rPr>
          <w:rFonts w:ascii="Times New Roman" w:hAnsi="Times New Roman" w:cs="Times New Roman"/>
        </w:rPr>
        <w:t>in</w:t>
      </w:r>
      <w:r w:rsidR="00843064">
        <w:rPr>
          <w:rFonts w:ascii="Times New Roman" w:hAnsi="Times New Roman" w:cs="Times New Roman"/>
        </w:rPr>
        <w:t xml:space="preserve"> favor of</w:t>
      </w:r>
      <w:r w:rsidR="00671790">
        <w:rPr>
          <w:rFonts w:ascii="Times New Roman" w:hAnsi="Times New Roman" w:cs="Times New Roman"/>
        </w:rPr>
        <w:t xml:space="preserve"> </w:t>
      </w:r>
      <w:proofErr w:type="spellStart"/>
      <w:r w:rsidRPr="00B67E13">
        <w:rPr>
          <w:rFonts w:ascii="Times New Roman" w:hAnsi="Times New Roman" w:cs="Times New Roman"/>
        </w:rPr>
        <w:t>Armaid</w:t>
      </w:r>
      <w:proofErr w:type="spellEnd"/>
      <w:r w:rsidRPr="00B67E13">
        <w:rPr>
          <w:rFonts w:ascii="Times New Roman" w:hAnsi="Times New Roman" w:cs="Times New Roman"/>
        </w:rPr>
        <w:t xml:space="preserve">, concluding that, viewing the evidence and drawing all reasonable inferences in </w:t>
      </w:r>
      <w:proofErr w:type="spellStart"/>
      <w:r w:rsidRPr="00B67E13">
        <w:rPr>
          <w:rFonts w:ascii="Times New Roman" w:hAnsi="Times New Roman" w:cs="Times New Roman"/>
        </w:rPr>
        <w:t>RoM’s</w:t>
      </w:r>
      <w:proofErr w:type="spellEnd"/>
      <w:r w:rsidRPr="00B67E13">
        <w:rPr>
          <w:rFonts w:ascii="Times New Roman" w:hAnsi="Times New Roman" w:cs="Times New Roman"/>
        </w:rPr>
        <w:t xml:space="preserve"> favor, there was no genuine dispute of material </w:t>
      </w:r>
      <w:proofErr w:type="gramStart"/>
      <w:r w:rsidRPr="00B67E13">
        <w:rPr>
          <w:rFonts w:ascii="Times New Roman" w:hAnsi="Times New Roman" w:cs="Times New Roman"/>
        </w:rPr>
        <w:t>fact</w:t>
      </w:r>
      <w:proofErr w:type="gramEnd"/>
      <w:r w:rsidRPr="00B67E13">
        <w:rPr>
          <w:rFonts w:ascii="Times New Roman" w:hAnsi="Times New Roman" w:cs="Times New Roman"/>
        </w:rPr>
        <w:t xml:space="preserve"> and no reasonable jury could find infringement.</w:t>
      </w:r>
    </w:p>
    <w:p w14:paraId="35F42BC4" w14:textId="7E453B82" w:rsidR="00B67E13" w:rsidRPr="00B67E13" w:rsidRDefault="00B67E13" w:rsidP="00B67E13">
      <w:pPr>
        <w:jc w:val="both"/>
        <w:rPr>
          <w:rFonts w:ascii="Times New Roman" w:hAnsi="Times New Roman" w:cs="Times New Roman"/>
        </w:rPr>
      </w:pPr>
      <w:r w:rsidRPr="00B67E13">
        <w:rPr>
          <w:rFonts w:ascii="Times New Roman" w:hAnsi="Times New Roman" w:cs="Times New Roman"/>
        </w:rPr>
        <w:lastRenderedPageBreak/>
        <w:t>Writing for the majority, Judge Cunningham, joined by Judge Hughes, affirmed the district court’s decision on two grounds: (1) a claim construction that filtered out certain visual features of the claimed design on the basis that the</w:t>
      </w:r>
      <w:r w:rsidR="009B1762">
        <w:rPr>
          <w:rFonts w:ascii="Times New Roman" w:hAnsi="Times New Roman" w:cs="Times New Roman"/>
        </w:rPr>
        <w:t xml:space="preserve"> features</w:t>
      </w:r>
      <w:r w:rsidRPr="00B67E13">
        <w:rPr>
          <w:rFonts w:ascii="Times New Roman" w:hAnsi="Times New Roman" w:cs="Times New Roman"/>
        </w:rPr>
        <w:t xml:space="preserve"> were “functional,” and (2) a finding of noninfringement based on the conclusion that the </w:t>
      </w:r>
      <w:r w:rsidR="009B1762">
        <w:rPr>
          <w:rFonts w:ascii="Times New Roman" w:hAnsi="Times New Roman" w:cs="Times New Roman"/>
        </w:rPr>
        <w:t>filtered subsect of</w:t>
      </w:r>
      <w:r w:rsidR="00DD07C9">
        <w:rPr>
          <w:rFonts w:ascii="Times New Roman" w:hAnsi="Times New Roman" w:cs="Times New Roman"/>
        </w:rPr>
        <w:t xml:space="preserve"> the</w:t>
      </w:r>
      <w:r w:rsidR="009B1762">
        <w:rPr>
          <w:rFonts w:ascii="Times New Roman" w:hAnsi="Times New Roman" w:cs="Times New Roman"/>
        </w:rPr>
        <w:t xml:space="preserve"> </w:t>
      </w:r>
      <w:r w:rsidRPr="00B67E13">
        <w:rPr>
          <w:rFonts w:ascii="Times New Roman" w:hAnsi="Times New Roman" w:cs="Times New Roman"/>
        </w:rPr>
        <w:t>claimed design</w:t>
      </w:r>
      <w:r w:rsidR="009B1762">
        <w:rPr>
          <w:rFonts w:ascii="Times New Roman" w:hAnsi="Times New Roman" w:cs="Times New Roman"/>
        </w:rPr>
        <w:t xml:space="preserve"> and the corresponding portion of the accused design were</w:t>
      </w:r>
      <w:r w:rsidRPr="00B67E13">
        <w:rPr>
          <w:rFonts w:ascii="Times New Roman" w:hAnsi="Times New Roman" w:cs="Times New Roman"/>
        </w:rPr>
        <w:t xml:space="preserve"> “plainly dissimilar” in</w:t>
      </w:r>
      <w:r w:rsidR="00843064">
        <w:rPr>
          <w:rFonts w:ascii="Times New Roman" w:hAnsi="Times New Roman" w:cs="Times New Roman"/>
        </w:rPr>
        <w:t xml:space="preserve"> their</w:t>
      </w:r>
      <w:r w:rsidRPr="00B67E13">
        <w:rPr>
          <w:rFonts w:ascii="Times New Roman" w:hAnsi="Times New Roman" w:cs="Times New Roman"/>
        </w:rPr>
        <w:t xml:space="preserve"> </w:t>
      </w:r>
      <w:r w:rsidR="009B1762">
        <w:rPr>
          <w:rFonts w:ascii="Times New Roman" w:hAnsi="Times New Roman" w:cs="Times New Roman"/>
        </w:rPr>
        <w:t>“</w:t>
      </w:r>
      <w:r w:rsidRPr="00B67E13">
        <w:rPr>
          <w:rFonts w:ascii="Times New Roman" w:hAnsi="Times New Roman" w:cs="Times New Roman"/>
        </w:rPr>
        <w:t>overall</w:t>
      </w:r>
      <w:r w:rsidR="009B1762">
        <w:rPr>
          <w:rFonts w:ascii="Times New Roman" w:hAnsi="Times New Roman" w:cs="Times New Roman"/>
        </w:rPr>
        <w:t>”</w:t>
      </w:r>
      <w:r w:rsidRPr="00B67E13">
        <w:rPr>
          <w:rFonts w:ascii="Times New Roman" w:hAnsi="Times New Roman" w:cs="Times New Roman"/>
        </w:rPr>
        <w:t xml:space="preserve"> appearance.</w:t>
      </w:r>
    </w:p>
    <w:p w14:paraId="733FC083" w14:textId="0A83E38C" w:rsidR="00B67E13" w:rsidRPr="00B67E13" w:rsidRDefault="00B67E13" w:rsidP="00B67E13">
      <w:pPr>
        <w:jc w:val="both"/>
        <w:rPr>
          <w:rFonts w:ascii="Times New Roman" w:hAnsi="Times New Roman" w:cs="Times New Roman"/>
          <w:b/>
          <w:bCs/>
        </w:rPr>
      </w:pPr>
      <w:r w:rsidRPr="00B67E13">
        <w:rPr>
          <w:rFonts w:ascii="Times New Roman" w:hAnsi="Times New Roman" w:cs="Times New Roman"/>
          <w:b/>
          <w:bCs/>
        </w:rPr>
        <w:t xml:space="preserve">Claim Construction and </w:t>
      </w:r>
      <w:r w:rsidR="000667E4">
        <w:rPr>
          <w:rFonts w:ascii="Times New Roman" w:hAnsi="Times New Roman" w:cs="Times New Roman"/>
          <w:b/>
          <w:bCs/>
        </w:rPr>
        <w:t xml:space="preserve">Factoring-Out of </w:t>
      </w:r>
      <w:r w:rsidR="00531F2C">
        <w:rPr>
          <w:rFonts w:ascii="Times New Roman" w:hAnsi="Times New Roman" w:cs="Times New Roman"/>
          <w:b/>
          <w:bCs/>
        </w:rPr>
        <w:t xml:space="preserve">Functional </w:t>
      </w:r>
      <w:r w:rsidRPr="00B67E13">
        <w:rPr>
          <w:rFonts w:ascii="Times New Roman" w:hAnsi="Times New Roman" w:cs="Times New Roman"/>
          <w:b/>
          <w:bCs/>
        </w:rPr>
        <w:t>Feature</w:t>
      </w:r>
      <w:r w:rsidR="000667E4">
        <w:rPr>
          <w:rFonts w:ascii="Times New Roman" w:hAnsi="Times New Roman" w:cs="Times New Roman"/>
          <w:b/>
          <w:bCs/>
        </w:rPr>
        <w:t>s</w:t>
      </w:r>
    </w:p>
    <w:p w14:paraId="6FC95846" w14:textId="0BE6FA2B" w:rsidR="00B67E13" w:rsidRPr="00B67E13" w:rsidRDefault="00B67E13" w:rsidP="00B67E13">
      <w:pPr>
        <w:jc w:val="both"/>
        <w:rPr>
          <w:rFonts w:ascii="Times New Roman" w:hAnsi="Times New Roman" w:cs="Times New Roman"/>
        </w:rPr>
      </w:pPr>
      <w:r w:rsidRPr="00B67E13">
        <w:rPr>
          <w:rFonts w:ascii="Times New Roman" w:hAnsi="Times New Roman" w:cs="Times New Roman"/>
        </w:rPr>
        <w:t>With respect to claim construction, the Federal Circuit agreed with the district court’s approach of</w:t>
      </w:r>
      <w:r w:rsidR="00051CC3">
        <w:rPr>
          <w:rFonts w:ascii="Times New Roman" w:hAnsi="Times New Roman" w:cs="Times New Roman"/>
        </w:rPr>
        <w:t xml:space="preserve"> </w:t>
      </w:r>
      <w:r w:rsidR="00051CC3" w:rsidRPr="00051CC3">
        <w:rPr>
          <w:rFonts w:ascii="Times New Roman" w:hAnsi="Times New Roman" w:cs="Times New Roman"/>
        </w:rPr>
        <w:t>constru</w:t>
      </w:r>
      <w:r w:rsidR="00051CC3">
        <w:rPr>
          <w:rFonts w:ascii="Times New Roman" w:hAnsi="Times New Roman" w:cs="Times New Roman"/>
        </w:rPr>
        <w:t>ing</w:t>
      </w:r>
      <w:r w:rsidR="00051CC3" w:rsidRPr="00051CC3">
        <w:rPr>
          <w:rFonts w:ascii="Times New Roman" w:hAnsi="Times New Roman" w:cs="Times New Roman"/>
        </w:rPr>
        <w:t xml:space="preserve"> the claim </w:t>
      </w:r>
      <w:r w:rsidR="00051CC3">
        <w:rPr>
          <w:rFonts w:ascii="Times New Roman" w:hAnsi="Times New Roman" w:cs="Times New Roman"/>
        </w:rPr>
        <w:t xml:space="preserve">by conducting a </w:t>
      </w:r>
      <w:r w:rsidR="00051CC3" w:rsidRPr="00051CC3">
        <w:rPr>
          <w:rFonts w:ascii="Times New Roman" w:hAnsi="Times New Roman" w:cs="Times New Roman"/>
        </w:rPr>
        <w:t xml:space="preserve">functional-versus-ornamental inquiry </w:t>
      </w:r>
      <w:r w:rsidR="00051CC3">
        <w:rPr>
          <w:rFonts w:ascii="Times New Roman" w:hAnsi="Times New Roman" w:cs="Times New Roman"/>
        </w:rPr>
        <w:t xml:space="preserve">to </w:t>
      </w:r>
      <w:r w:rsidR="00051CC3" w:rsidRPr="00051CC3">
        <w:rPr>
          <w:rFonts w:ascii="Times New Roman" w:hAnsi="Times New Roman" w:cs="Times New Roman"/>
        </w:rPr>
        <w:t>“factor</w:t>
      </w:r>
      <w:r w:rsidR="00051CC3">
        <w:rPr>
          <w:rFonts w:ascii="Times New Roman" w:hAnsi="Times New Roman" w:cs="Times New Roman"/>
        </w:rPr>
        <w:t xml:space="preserve"> </w:t>
      </w:r>
      <w:r w:rsidR="00051CC3" w:rsidRPr="00051CC3">
        <w:rPr>
          <w:rFonts w:ascii="Times New Roman" w:hAnsi="Times New Roman" w:cs="Times New Roman"/>
        </w:rPr>
        <w:t>out the functional aspects of</w:t>
      </w:r>
      <w:r w:rsidR="00051CC3">
        <w:rPr>
          <w:rFonts w:ascii="Times New Roman" w:hAnsi="Times New Roman" w:cs="Times New Roman"/>
        </w:rPr>
        <w:t xml:space="preserve"> </w:t>
      </w:r>
      <w:r w:rsidR="00051CC3" w:rsidRPr="00051CC3">
        <w:rPr>
          <w:rFonts w:ascii="Times New Roman" w:hAnsi="Times New Roman" w:cs="Times New Roman"/>
        </w:rPr>
        <w:t>the design</w:t>
      </w:r>
      <w:r w:rsidR="00051CC3">
        <w:rPr>
          <w:rFonts w:ascii="Times New Roman" w:hAnsi="Times New Roman" w:cs="Times New Roman"/>
        </w:rPr>
        <w:t xml:space="preserve">.” </w:t>
      </w:r>
      <w:r w:rsidRPr="00B67E13">
        <w:rPr>
          <w:rFonts w:ascii="Times New Roman" w:hAnsi="Times New Roman" w:cs="Times New Roman"/>
        </w:rPr>
        <w:t>In particular, the Court determined that several visual features of the D’155 patent</w:t>
      </w:r>
      <w:r w:rsidR="00843064" w:rsidRPr="00843064">
        <w:rPr>
          <w:rFonts w:ascii="Times New Roman" w:hAnsi="Times New Roman" w:cs="Times New Roman"/>
        </w:rPr>
        <w:t>—</w:t>
      </w:r>
      <w:r w:rsidR="00843064">
        <w:rPr>
          <w:rFonts w:ascii="Times New Roman" w:hAnsi="Times New Roman" w:cs="Times New Roman"/>
        </w:rPr>
        <w:t xml:space="preserve">such as </w:t>
      </w:r>
      <w:r w:rsidRPr="00B67E13">
        <w:rPr>
          <w:rFonts w:ascii="Times New Roman" w:hAnsi="Times New Roman" w:cs="Times New Roman"/>
        </w:rPr>
        <w:t xml:space="preserve">the shape of </w:t>
      </w:r>
      <w:r w:rsidR="009B1762">
        <w:rPr>
          <w:rFonts w:ascii="Times New Roman" w:hAnsi="Times New Roman" w:cs="Times New Roman"/>
        </w:rPr>
        <w:t xml:space="preserve">each of </w:t>
      </w:r>
      <w:r w:rsidRPr="00B67E13">
        <w:rPr>
          <w:rFonts w:ascii="Times New Roman" w:hAnsi="Times New Roman" w:cs="Times New Roman"/>
        </w:rPr>
        <w:t>the device’s arms</w:t>
      </w:r>
      <w:r w:rsidR="00843064" w:rsidRPr="00843064">
        <w:rPr>
          <w:rFonts w:ascii="Times New Roman" w:hAnsi="Times New Roman" w:cs="Times New Roman"/>
        </w:rPr>
        <w:t>—</w:t>
      </w:r>
      <w:r w:rsidRPr="00B67E13">
        <w:rPr>
          <w:rFonts w:ascii="Times New Roman" w:hAnsi="Times New Roman" w:cs="Times New Roman"/>
        </w:rPr>
        <w:t xml:space="preserve">were </w:t>
      </w:r>
      <w:r w:rsidR="00843064">
        <w:rPr>
          <w:rFonts w:ascii="Times New Roman" w:hAnsi="Times New Roman" w:cs="Times New Roman"/>
        </w:rPr>
        <w:t xml:space="preserve">driven by </w:t>
      </w:r>
      <w:r w:rsidRPr="00B67E13">
        <w:rPr>
          <w:rFonts w:ascii="Times New Roman" w:hAnsi="Times New Roman" w:cs="Times New Roman"/>
        </w:rPr>
        <w:t>function</w:t>
      </w:r>
      <w:r w:rsidR="004642A3">
        <w:rPr>
          <w:rFonts w:ascii="Times New Roman" w:hAnsi="Times New Roman" w:cs="Times New Roman"/>
        </w:rPr>
        <w:t>.</w:t>
      </w:r>
      <w:r w:rsidRPr="00B67E13">
        <w:rPr>
          <w:rFonts w:ascii="Times New Roman" w:hAnsi="Times New Roman" w:cs="Times New Roman"/>
        </w:rPr>
        <w:t xml:space="preserve"> The majority appeared to place significant weight on disclosures in the related ’081 utility patent</w:t>
      </w:r>
      <w:r w:rsidR="009716E7">
        <w:rPr>
          <w:rFonts w:ascii="Times New Roman" w:hAnsi="Times New Roman" w:cs="Times New Roman"/>
        </w:rPr>
        <w:t xml:space="preserve">. In particular, the Court pointed to language in the </w:t>
      </w:r>
      <w:r w:rsidR="009716E7" w:rsidRPr="00B67E13">
        <w:rPr>
          <w:rFonts w:ascii="Times New Roman" w:hAnsi="Times New Roman" w:cs="Times New Roman"/>
        </w:rPr>
        <w:t>’</w:t>
      </w:r>
      <w:proofErr w:type="gramStart"/>
      <w:r w:rsidR="009716E7" w:rsidRPr="00B67E13">
        <w:rPr>
          <w:rFonts w:ascii="Times New Roman" w:hAnsi="Times New Roman" w:cs="Times New Roman"/>
        </w:rPr>
        <w:t>081</w:t>
      </w:r>
      <w:proofErr w:type="gramEnd"/>
      <w:r w:rsidR="009716E7" w:rsidRPr="00B67E13">
        <w:rPr>
          <w:rFonts w:ascii="Times New Roman" w:hAnsi="Times New Roman" w:cs="Times New Roman"/>
        </w:rPr>
        <w:t xml:space="preserve"> utility patent</w:t>
      </w:r>
      <w:r w:rsidR="00843064">
        <w:rPr>
          <w:rFonts w:ascii="Times New Roman" w:hAnsi="Times New Roman" w:cs="Times New Roman"/>
        </w:rPr>
        <w:t xml:space="preserve"> that described</w:t>
      </w:r>
      <w:r w:rsidR="00671790">
        <w:rPr>
          <w:rFonts w:ascii="Times New Roman" w:hAnsi="Times New Roman" w:cs="Times New Roman"/>
        </w:rPr>
        <w:t xml:space="preserve"> </w:t>
      </w:r>
      <w:r w:rsidRPr="00B67E13">
        <w:rPr>
          <w:rFonts w:ascii="Times New Roman" w:hAnsi="Times New Roman" w:cs="Times New Roman"/>
        </w:rPr>
        <w:t xml:space="preserve">the functional </w:t>
      </w:r>
      <w:r w:rsidR="00843064">
        <w:rPr>
          <w:rFonts w:ascii="Times New Roman" w:hAnsi="Times New Roman" w:cs="Times New Roman"/>
        </w:rPr>
        <w:t>purpose</w:t>
      </w:r>
      <w:r w:rsidR="00843064" w:rsidRPr="00B67E13">
        <w:rPr>
          <w:rFonts w:ascii="Times New Roman" w:hAnsi="Times New Roman" w:cs="Times New Roman"/>
        </w:rPr>
        <w:t xml:space="preserve"> </w:t>
      </w:r>
      <w:r w:rsidR="00843064">
        <w:rPr>
          <w:rFonts w:ascii="Times New Roman" w:hAnsi="Times New Roman" w:cs="Times New Roman"/>
        </w:rPr>
        <w:t>of</w:t>
      </w:r>
      <w:r w:rsidRPr="00B67E13">
        <w:rPr>
          <w:rFonts w:ascii="Times New Roman" w:hAnsi="Times New Roman" w:cs="Times New Roman"/>
        </w:rPr>
        <w:t xml:space="preserve"> the arms, </w:t>
      </w:r>
      <w:r w:rsidR="009716E7">
        <w:rPr>
          <w:rFonts w:ascii="Times New Roman" w:hAnsi="Times New Roman" w:cs="Times New Roman"/>
        </w:rPr>
        <w:t>as contributing to</w:t>
      </w:r>
      <w:r w:rsidRPr="00B67E13">
        <w:rPr>
          <w:rFonts w:ascii="Times New Roman" w:hAnsi="Times New Roman" w:cs="Times New Roman"/>
        </w:rPr>
        <w:t xml:space="preserve"> its conclusion that </w:t>
      </w:r>
      <w:r w:rsidR="009716E7">
        <w:rPr>
          <w:rFonts w:ascii="Times New Roman" w:hAnsi="Times New Roman" w:cs="Times New Roman"/>
        </w:rPr>
        <w:t xml:space="preserve">the </w:t>
      </w:r>
      <w:r w:rsidRPr="00B67E13">
        <w:rPr>
          <w:rFonts w:ascii="Times New Roman" w:hAnsi="Times New Roman" w:cs="Times New Roman"/>
        </w:rPr>
        <w:t>shape</w:t>
      </w:r>
      <w:r w:rsidR="009716E7">
        <w:rPr>
          <w:rFonts w:ascii="Times New Roman" w:hAnsi="Times New Roman" w:cs="Times New Roman"/>
        </w:rPr>
        <w:t xml:space="preserve"> of those arms</w:t>
      </w:r>
      <w:r w:rsidRPr="00B67E13">
        <w:rPr>
          <w:rFonts w:ascii="Times New Roman" w:hAnsi="Times New Roman" w:cs="Times New Roman"/>
        </w:rPr>
        <w:t xml:space="preserve"> was functional.</w:t>
      </w:r>
    </w:p>
    <w:p w14:paraId="1A4C6AD8" w14:textId="3082E852" w:rsidR="00B67E13" w:rsidRPr="00B67E13" w:rsidRDefault="009B1762" w:rsidP="00B67E13">
      <w:pPr>
        <w:jc w:val="both"/>
        <w:rPr>
          <w:rFonts w:ascii="Times New Roman" w:hAnsi="Times New Roman" w:cs="Times New Roman"/>
        </w:rPr>
      </w:pPr>
      <w:r>
        <w:rPr>
          <w:rFonts w:ascii="Times New Roman" w:hAnsi="Times New Roman" w:cs="Times New Roman"/>
        </w:rPr>
        <w:t xml:space="preserve">The authors </w:t>
      </w:r>
      <w:r w:rsidR="009716E7">
        <w:rPr>
          <w:rFonts w:ascii="Times New Roman" w:hAnsi="Times New Roman" w:cs="Times New Roman"/>
        </w:rPr>
        <w:t xml:space="preserve">observe </w:t>
      </w:r>
      <w:r>
        <w:rPr>
          <w:rFonts w:ascii="Times New Roman" w:hAnsi="Times New Roman" w:cs="Times New Roman"/>
        </w:rPr>
        <w:t xml:space="preserve">that </w:t>
      </w:r>
      <w:r w:rsidR="00051CC3">
        <w:rPr>
          <w:rFonts w:ascii="Times New Roman" w:hAnsi="Times New Roman" w:cs="Times New Roman"/>
        </w:rPr>
        <w:t>factoring out</w:t>
      </w:r>
      <w:r w:rsidR="00B67E13" w:rsidRPr="00B67E13">
        <w:rPr>
          <w:rFonts w:ascii="Times New Roman" w:hAnsi="Times New Roman" w:cs="Times New Roman"/>
        </w:rPr>
        <w:t xml:space="preserve"> the arms’ shape from the claimed overall appearance </w:t>
      </w:r>
      <w:r w:rsidR="009716E7">
        <w:rPr>
          <w:rFonts w:ascii="Times New Roman" w:hAnsi="Times New Roman" w:cs="Times New Roman"/>
        </w:rPr>
        <w:t xml:space="preserve">is at odds with prior </w:t>
      </w:r>
      <w:r w:rsidR="00B67E13" w:rsidRPr="00B67E13">
        <w:rPr>
          <w:rFonts w:ascii="Times New Roman" w:hAnsi="Times New Roman" w:cs="Times New Roman"/>
        </w:rPr>
        <w:t>Federal Circuit precedent</w:t>
      </w:r>
      <w:r w:rsidR="009716E7">
        <w:rPr>
          <w:rFonts w:ascii="Times New Roman" w:hAnsi="Times New Roman" w:cs="Times New Roman"/>
        </w:rPr>
        <w:t>, which</w:t>
      </w:r>
      <w:r w:rsidR="00B67E13" w:rsidRPr="00B67E13">
        <w:rPr>
          <w:rFonts w:ascii="Times New Roman" w:hAnsi="Times New Roman" w:cs="Times New Roman"/>
        </w:rPr>
        <w:t xml:space="preserve"> </w:t>
      </w:r>
      <w:r w:rsidR="009716E7" w:rsidRPr="00B67E13">
        <w:rPr>
          <w:rFonts w:ascii="Times New Roman" w:hAnsi="Times New Roman" w:cs="Times New Roman"/>
        </w:rPr>
        <w:t>caution</w:t>
      </w:r>
      <w:r w:rsidR="009716E7">
        <w:rPr>
          <w:rFonts w:ascii="Times New Roman" w:hAnsi="Times New Roman" w:cs="Times New Roman"/>
        </w:rPr>
        <w:t>s</w:t>
      </w:r>
      <w:r w:rsidR="009716E7" w:rsidRPr="00B67E13">
        <w:rPr>
          <w:rFonts w:ascii="Times New Roman" w:hAnsi="Times New Roman" w:cs="Times New Roman"/>
        </w:rPr>
        <w:t xml:space="preserve"> </w:t>
      </w:r>
      <w:r w:rsidR="00B67E13" w:rsidRPr="00B67E13">
        <w:rPr>
          <w:rFonts w:ascii="Times New Roman" w:hAnsi="Times New Roman" w:cs="Times New Roman"/>
        </w:rPr>
        <w:t>against</w:t>
      </w:r>
      <w:r w:rsidR="009716E7">
        <w:rPr>
          <w:rFonts w:ascii="Times New Roman" w:hAnsi="Times New Roman" w:cs="Times New Roman"/>
        </w:rPr>
        <w:t xml:space="preserve"> </w:t>
      </w:r>
      <w:r w:rsidR="00B67E13" w:rsidRPr="00B67E13">
        <w:rPr>
          <w:rFonts w:ascii="Times New Roman" w:hAnsi="Times New Roman" w:cs="Times New Roman"/>
        </w:rPr>
        <w:t xml:space="preserve">eliminating visual features from a claimed design. </w:t>
      </w:r>
      <w:r w:rsidR="00DC1A94">
        <w:rPr>
          <w:rFonts w:ascii="Times New Roman" w:hAnsi="Times New Roman" w:cs="Times New Roman"/>
        </w:rPr>
        <w:t>See</w:t>
      </w:r>
      <w:r w:rsidR="00B67E13" w:rsidRPr="00B67E13">
        <w:rPr>
          <w:rFonts w:ascii="Times New Roman" w:hAnsi="Times New Roman" w:cs="Times New Roman"/>
        </w:rPr>
        <w:t xml:space="preserve"> </w:t>
      </w:r>
      <w:r w:rsidR="00DC1A94" w:rsidRPr="00DC1A94">
        <w:rPr>
          <w:rFonts w:ascii="Times New Roman" w:hAnsi="Times New Roman" w:cs="Times New Roman"/>
          <w:i/>
          <w:iCs/>
        </w:rPr>
        <w:t>Sport Dimension, Inc. v. Coleman Co.</w:t>
      </w:r>
      <w:r w:rsidR="00DC1A94" w:rsidRPr="00DC1A94">
        <w:rPr>
          <w:rFonts w:ascii="Times New Roman" w:hAnsi="Times New Roman" w:cs="Times New Roman"/>
        </w:rPr>
        <w:t>, 820 F.3d 1316, 1321 (Fed. Cir. 2016) (holding that while a court may identify functional aspects of a design, it is legal error to eliminate claimed visual elements from the design during claim construction)</w:t>
      </w:r>
      <w:r w:rsidR="00DC1A94">
        <w:rPr>
          <w:rFonts w:ascii="Times New Roman" w:hAnsi="Times New Roman" w:cs="Times New Roman"/>
        </w:rPr>
        <w:t>;</w:t>
      </w:r>
      <w:r w:rsidR="00DC1A94" w:rsidRPr="00DC1A94">
        <w:rPr>
          <w:i/>
          <w:iCs/>
        </w:rPr>
        <w:t xml:space="preserve"> </w:t>
      </w:r>
      <w:r w:rsidR="00DC1A94">
        <w:rPr>
          <w:rFonts w:ascii="Times New Roman" w:hAnsi="Times New Roman" w:cs="Times New Roman"/>
          <w:i/>
          <w:iCs/>
        </w:rPr>
        <w:t>s</w:t>
      </w:r>
      <w:r w:rsidR="00DC1A94" w:rsidRPr="00DC1A94">
        <w:rPr>
          <w:rFonts w:ascii="Times New Roman" w:hAnsi="Times New Roman" w:cs="Times New Roman"/>
          <w:i/>
          <w:iCs/>
        </w:rPr>
        <w:t>ee also</w:t>
      </w:r>
      <w:r w:rsidR="00DC1A94" w:rsidRPr="00DC1A94">
        <w:rPr>
          <w:rFonts w:ascii="Times New Roman" w:hAnsi="Times New Roman" w:cs="Times New Roman"/>
        </w:rPr>
        <w:t xml:space="preserve"> </w:t>
      </w:r>
      <w:r w:rsidR="00DC1A94" w:rsidRPr="00CD1C36">
        <w:rPr>
          <w:rFonts w:ascii="Times New Roman" w:hAnsi="Times New Roman" w:cs="Times New Roman"/>
          <w:i/>
          <w:iCs/>
        </w:rPr>
        <w:t>Ethicon Endo-Surgery, Inc. v. Covidien, Inc</w:t>
      </w:r>
      <w:r w:rsidR="00DC1A94" w:rsidRPr="00DC1A94">
        <w:rPr>
          <w:rFonts w:ascii="Times New Roman" w:hAnsi="Times New Roman" w:cs="Times New Roman"/>
          <w:b/>
          <w:bCs/>
        </w:rPr>
        <w:t>.</w:t>
      </w:r>
      <w:r w:rsidR="00DC1A94" w:rsidRPr="00DC1A94">
        <w:rPr>
          <w:rFonts w:ascii="Times New Roman" w:hAnsi="Times New Roman" w:cs="Times New Roman"/>
        </w:rPr>
        <w:t>, 796 F.3d 1312, 1335–36 (Fed. Cir. 2015) (rejecting claim constructions that effectively excise claimed visual features under the guise of functionality).</w:t>
      </w:r>
    </w:p>
    <w:p w14:paraId="00ABAC3A" w14:textId="675FC1F7" w:rsidR="00B67E13" w:rsidRPr="00B67E13" w:rsidRDefault="004642A3" w:rsidP="00B67E13">
      <w:pPr>
        <w:jc w:val="both"/>
        <w:rPr>
          <w:rFonts w:ascii="Times New Roman" w:hAnsi="Times New Roman" w:cs="Times New Roman"/>
        </w:rPr>
      </w:pPr>
      <w:r>
        <w:rPr>
          <w:rFonts w:ascii="Times New Roman" w:hAnsi="Times New Roman" w:cs="Times New Roman"/>
        </w:rPr>
        <w:t>Effectively r</w:t>
      </w:r>
      <w:r w:rsidRPr="00B67E13">
        <w:rPr>
          <w:rFonts w:ascii="Times New Roman" w:hAnsi="Times New Roman" w:cs="Times New Roman"/>
        </w:rPr>
        <w:t xml:space="preserve">emoving </w:t>
      </w:r>
      <w:r w:rsidR="00B67E13" w:rsidRPr="00B67E13">
        <w:rPr>
          <w:rFonts w:ascii="Times New Roman" w:hAnsi="Times New Roman" w:cs="Times New Roman"/>
        </w:rPr>
        <w:t>visual features from a claimed design</w:t>
      </w:r>
      <w:r>
        <w:rPr>
          <w:rFonts w:ascii="Times New Roman" w:hAnsi="Times New Roman" w:cs="Times New Roman"/>
        </w:rPr>
        <w:t>, instead of focusing on the overall design,</w:t>
      </w:r>
      <w:r w:rsidR="00B67E13" w:rsidRPr="00B67E13">
        <w:rPr>
          <w:rFonts w:ascii="Times New Roman" w:hAnsi="Times New Roman" w:cs="Times New Roman"/>
        </w:rPr>
        <w:t xml:space="preserve"> is fraught with doctrinal problems. It risks distorting the scope of the claim, </w:t>
      </w:r>
      <w:r w:rsidR="009716E7">
        <w:rPr>
          <w:rFonts w:ascii="Times New Roman" w:hAnsi="Times New Roman" w:cs="Times New Roman"/>
        </w:rPr>
        <w:t xml:space="preserve">which </w:t>
      </w:r>
      <w:r w:rsidR="00671790" w:rsidRPr="00B67E13">
        <w:rPr>
          <w:rFonts w:ascii="Times New Roman" w:hAnsi="Times New Roman" w:cs="Times New Roman"/>
        </w:rPr>
        <w:t>undermines</w:t>
      </w:r>
      <w:r w:rsidR="009716E7" w:rsidRPr="00B67E13">
        <w:rPr>
          <w:rFonts w:ascii="Times New Roman" w:hAnsi="Times New Roman" w:cs="Times New Roman"/>
        </w:rPr>
        <w:t xml:space="preserve"> </w:t>
      </w:r>
      <w:r w:rsidR="00B67E13" w:rsidRPr="00B67E13">
        <w:rPr>
          <w:rFonts w:ascii="Times New Roman" w:hAnsi="Times New Roman" w:cs="Times New Roman"/>
        </w:rPr>
        <w:t>the presumption of validity by redefining the claim into something other than what the USPTO examined</w:t>
      </w:r>
      <w:r w:rsidR="009716E7">
        <w:rPr>
          <w:rFonts w:ascii="Times New Roman" w:hAnsi="Times New Roman" w:cs="Times New Roman"/>
        </w:rPr>
        <w:t xml:space="preserve">. Moreover, the removal of visual features </w:t>
      </w:r>
      <w:proofErr w:type="gramStart"/>
      <w:r w:rsidR="009716E7">
        <w:rPr>
          <w:rFonts w:ascii="Times New Roman" w:hAnsi="Times New Roman" w:cs="Times New Roman"/>
        </w:rPr>
        <w:t xml:space="preserve">on </w:t>
      </w:r>
      <w:r w:rsidR="00AC7B3F">
        <w:rPr>
          <w:rFonts w:ascii="Times New Roman" w:hAnsi="Times New Roman" w:cs="Times New Roman"/>
        </w:rPr>
        <w:t xml:space="preserve">the </w:t>
      </w:r>
      <w:r w:rsidR="009716E7">
        <w:rPr>
          <w:rFonts w:ascii="Times New Roman" w:hAnsi="Times New Roman" w:cs="Times New Roman"/>
        </w:rPr>
        <w:t>basis of</w:t>
      </w:r>
      <w:proofErr w:type="gramEnd"/>
      <w:r w:rsidR="009716E7">
        <w:rPr>
          <w:rFonts w:ascii="Times New Roman" w:hAnsi="Times New Roman" w:cs="Times New Roman"/>
        </w:rPr>
        <w:t xml:space="preserve"> functionality</w:t>
      </w:r>
      <w:r w:rsidR="00B67E13" w:rsidRPr="00B67E13">
        <w:rPr>
          <w:rFonts w:ascii="Times New Roman" w:hAnsi="Times New Roman" w:cs="Times New Roman"/>
        </w:rPr>
        <w:t xml:space="preserve"> inadvertently </w:t>
      </w:r>
      <w:r w:rsidR="009716E7" w:rsidRPr="00B67E13">
        <w:rPr>
          <w:rFonts w:ascii="Times New Roman" w:hAnsi="Times New Roman" w:cs="Times New Roman"/>
        </w:rPr>
        <w:t>broaden</w:t>
      </w:r>
      <w:r w:rsidR="009716E7">
        <w:rPr>
          <w:rFonts w:ascii="Times New Roman" w:hAnsi="Times New Roman" w:cs="Times New Roman"/>
        </w:rPr>
        <w:t>s</w:t>
      </w:r>
      <w:r w:rsidR="009716E7" w:rsidRPr="00B67E13">
        <w:rPr>
          <w:rFonts w:ascii="Times New Roman" w:hAnsi="Times New Roman" w:cs="Times New Roman"/>
        </w:rPr>
        <w:t xml:space="preserve"> </w:t>
      </w:r>
      <w:r w:rsidR="00B67E13" w:rsidRPr="00B67E13">
        <w:rPr>
          <w:rFonts w:ascii="Times New Roman" w:hAnsi="Times New Roman" w:cs="Times New Roman"/>
        </w:rPr>
        <w:t>the claim by isolating a residual sub-portion that was never claimed on its own</w:t>
      </w:r>
      <w:r w:rsidR="009716E7">
        <w:rPr>
          <w:rFonts w:ascii="Times New Roman" w:hAnsi="Times New Roman" w:cs="Times New Roman"/>
        </w:rPr>
        <w:t xml:space="preserve">. </w:t>
      </w:r>
      <w:r w:rsidR="00671790">
        <w:rPr>
          <w:rFonts w:ascii="Times New Roman" w:hAnsi="Times New Roman" w:cs="Times New Roman"/>
        </w:rPr>
        <w:t xml:space="preserve">The practice also appears to </w:t>
      </w:r>
      <w:r w:rsidR="00671790" w:rsidRPr="00B67E13">
        <w:rPr>
          <w:rFonts w:ascii="Times New Roman" w:hAnsi="Times New Roman" w:cs="Times New Roman"/>
        </w:rPr>
        <w:t>undermin</w:t>
      </w:r>
      <w:r w:rsidR="00671790">
        <w:rPr>
          <w:rFonts w:ascii="Times New Roman" w:hAnsi="Times New Roman" w:cs="Times New Roman"/>
        </w:rPr>
        <w:t>e</w:t>
      </w:r>
      <w:r w:rsidR="00671790" w:rsidRPr="00B67E13">
        <w:rPr>
          <w:rFonts w:ascii="Times New Roman" w:hAnsi="Times New Roman" w:cs="Times New Roman"/>
        </w:rPr>
        <w:t xml:space="preserve"> </w:t>
      </w:r>
      <w:r w:rsidR="00B67E13" w:rsidRPr="00B67E13">
        <w:rPr>
          <w:rFonts w:ascii="Times New Roman" w:hAnsi="Times New Roman" w:cs="Times New Roman"/>
        </w:rPr>
        <w:t xml:space="preserve">the ordinary observer test by preventing comparison of the full claimed appearance. </w:t>
      </w:r>
      <w:r w:rsidR="00B67E13" w:rsidRPr="004A2346">
        <w:rPr>
          <w:rFonts w:ascii="Times New Roman" w:hAnsi="Times New Roman" w:cs="Times New Roman"/>
          <w:i/>
          <w:iCs/>
        </w:rPr>
        <w:t>See</w:t>
      </w:r>
      <w:r w:rsidR="00B67E13" w:rsidRPr="00B67E13">
        <w:rPr>
          <w:rFonts w:ascii="Times New Roman" w:hAnsi="Times New Roman" w:cs="Times New Roman"/>
        </w:rPr>
        <w:t xml:space="preserve"> Christopher V. Carani, </w:t>
      </w:r>
      <w:r w:rsidR="00B67E13" w:rsidRPr="00B67E13">
        <w:rPr>
          <w:rFonts w:ascii="Times New Roman" w:hAnsi="Times New Roman" w:cs="Times New Roman"/>
          <w:i/>
          <w:iCs/>
        </w:rPr>
        <w:t>Design Patent Functionality: A Sensible Solution</w:t>
      </w:r>
      <w:r w:rsidR="00B67E13" w:rsidRPr="00B67E13">
        <w:rPr>
          <w:rFonts w:ascii="Times New Roman" w:hAnsi="Times New Roman" w:cs="Times New Roman"/>
        </w:rPr>
        <w:t xml:space="preserve">, ABA </w:t>
      </w:r>
      <w:r w:rsidR="00B67E13" w:rsidRPr="00B67E13">
        <w:rPr>
          <w:rFonts w:ascii="Times New Roman" w:hAnsi="Times New Roman" w:cs="Times New Roman"/>
          <w:i/>
          <w:iCs/>
        </w:rPr>
        <w:t>Landslide®</w:t>
      </w:r>
      <w:r w:rsidR="00B67E13" w:rsidRPr="00B67E13">
        <w:rPr>
          <w:rFonts w:ascii="Times New Roman" w:hAnsi="Times New Roman" w:cs="Times New Roman"/>
        </w:rPr>
        <w:t xml:space="preserve"> (Nov./Dec. 2014).</w:t>
      </w:r>
    </w:p>
    <w:p w14:paraId="21F3490D" w14:textId="40C1E700" w:rsidR="00DC1A94" w:rsidRPr="00DC1A94" w:rsidRDefault="00DC1A94" w:rsidP="00DC1A94">
      <w:pPr>
        <w:jc w:val="both"/>
        <w:rPr>
          <w:rFonts w:ascii="Times New Roman" w:hAnsi="Times New Roman" w:cs="Times New Roman"/>
        </w:rPr>
      </w:pPr>
      <w:r w:rsidRPr="00DC1A94">
        <w:rPr>
          <w:rFonts w:ascii="Times New Roman" w:hAnsi="Times New Roman" w:cs="Times New Roman"/>
        </w:rPr>
        <w:t xml:space="preserve">While </w:t>
      </w:r>
      <w:proofErr w:type="gramStart"/>
      <w:r w:rsidRPr="00DC1A94">
        <w:rPr>
          <w:rFonts w:ascii="Times New Roman" w:hAnsi="Times New Roman" w:cs="Times New Roman"/>
        </w:rPr>
        <w:t>fact-finders</w:t>
      </w:r>
      <w:proofErr w:type="gramEnd"/>
      <w:r w:rsidRPr="00DC1A94">
        <w:rPr>
          <w:rFonts w:ascii="Times New Roman" w:hAnsi="Times New Roman" w:cs="Times New Roman"/>
        </w:rPr>
        <w:t xml:space="preserve"> should be reminded that similarity in functional </w:t>
      </w:r>
      <w:r w:rsidR="00671790" w:rsidRPr="001D67B7">
        <w:rPr>
          <w:rFonts w:ascii="Times New Roman" w:hAnsi="Times New Roman" w:cs="Times New Roman"/>
        </w:rPr>
        <w:t>attributes</w:t>
      </w:r>
      <w:r>
        <w:rPr>
          <w:rFonts w:ascii="Times New Roman" w:hAnsi="Times New Roman" w:cs="Times New Roman"/>
        </w:rPr>
        <w:t xml:space="preserve">, </w:t>
      </w:r>
      <w:r w:rsidRPr="00DC1A94">
        <w:rPr>
          <w:rFonts w:ascii="Times New Roman" w:hAnsi="Times New Roman" w:cs="Times New Roman"/>
        </w:rPr>
        <w:t>such as strength, torque, or range of motion</w:t>
      </w:r>
      <w:r>
        <w:rPr>
          <w:rFonts w:ascii="Times New Roman" w:hAnsi="Times New Roman" w:cs="Times New Roman"/>
        </w:rPr>
        <w:t xml:space="preserve">, </w:t>
      </w:r>
      <w:r w:rsidR="00671790">
        <w:rPr>
          <w:rFonts w:ascii="Times New Roman" w:hAnsi="Times New Roman" w:cs="Times New Roman"/>
        </w:rPr>
        <w:t>are</w:t>
      </w:r>
      <w:r w:rsidR="00671790" w:rsidRPr="00DC1A94">
        <w:rPr>
          <w:rFonts w:ascii="Times New Roman" w:hAnsi="Times New Roman" w:cs="Times New Roman"/>
        </w:rPr>
        <w:t xml:space="preserve"> </w:t>
      </w:r>
      <w:r w:rsidRPr="00DC1A94">
        <w:rPr>
          <w:rFonts w:ascii="Times New Roman" w:hAnsi="Times New Roman" w:cs="Times New Roman"/>
        </w:rPr>
        <w:t>irrelevant to design patent infringement, th</w:t>
      </w:r>
      <w:r w:rsidR="00671790">
        <w:rPr>
          <w:rFonts w:ascii="Times New Roman" w:hAnsi="Times New Roman" w:cs="Times New Roman"/>
        </w:rPr>
        <w:t xml:space="preserve">e fact that a design has such functional </w:t>
      </w:r>
      <w:r w:rsidR="001D67B7">
        <w:rPr>
          <w:rFonts w:ascii="Times New Roman" w:hAnsi="Times New Roman" w:cs="Times New Roman"/>
        </w:rPr>
        <w:t>purposes</w:t>
      </w:r>
      <w:r w:rsidR="00671790">
        <w:rPr>
          <w:rFonts w:ascii="Times New Roman" w:hAnsi="Times New Roman" w:cs="Times New Roman"/>
        </w:rPr>
        <w:t xml:space="preserve"> </w:t>
      </w:r>
      <w:r w:rsidRPr="00DC1A94">
        <w:rPr>
          <w:rFonts w:ascii="Times New Roman" w:hAnsi="Times New Roman" w:cs="Times New Roman"/>
        </w:rPr>
        <w:t xml:space="preserve">does not justify excising </w:t>
      </w:r>
      <w:r w:rsidRPr="004A2346">
        <w:rPr>
          <w:rFonts w:ascii="Times New Roman" w:hAnsi="Times New Roman" w:cs="Times New Roman"/>
          <w:i/>
          <w:iCs/>
        </w:rPr>
        <w:t>visual</w:t>
      </w:r>
      <w:r w:rsidRPr="00DC1A94">
        <w:rPr>
          <w:rFonts w:ascii="Times New Roman" w:hAnsi="Times New Roman" w:cs="Times New Roman"/>
        </w:rPr>
        <w:t xml:space="preserve"> features </w:t>
      </w:r>
      <w:r w:rsidR="00C4318D">
        <w:rPr>
          <w:rFonts w:ascii="Times New Roman" w:hAnsi="Times New Roman" w:cs="Times New Roman"/>
        </w:rPr>
        <w:t>from</w:t>
      </w:r>
      <w:r w:rsidR="00AC7B3F">
        <w:rPr>
          <w:rFonts w:ascii="Times New Roman" w:hAnsi="Times New Roman" w:cs="Times New Roman"/>
        </w:rPr>
        <w:t xml:space="preserve"> </w:t>
      </w:r>
      <w:r w:rsidR="00671790">
        <w:rPr>
          <w:rFonts w:ascii="Times New Roman" w:hAnsi="Times New Roman" w:cs="Times New Roman"/>
        </w:rPr>
        <w:t>the</w:t>
      </w:r>
      <w:r w:rsidRPr="00DC1A94">
        <w:rPr>
          <w:rFonts w:ascii="Times New Roman" w:hAnsi="Times New Roman" w:cs="Times New Roman"/>
        </w:rPr>
        <w:t xml:space="preserve"> </w:t>
      </w:r>
      <w:r w:rsidR="00671790">
        <w:rPr>
          <w:rFonts w:ascii="Times New Roman" w:hAnsi="Times New Roman" w:cs="Times New Roman"/>
        </w:rPr>
        <w:t xml:space="preserve">claimed </w:t>
      </w:r>
      <w:r w:rsidR="00213749">
        <w:rPr>
          <w:rFonts w:ascii="Times New Roman" w:hAnsi="Times New Roman" w:cs="Times New Roman"/>
        </w:rPr>
        <w:t xml:space="preserve">overall </w:t>
      </w:r>
      <w:r w:rsidRPr="00DC1A94">
        <w:rPr>
          <w:rFonts w:ascii="Times New Roman" w:hAnsi="Times New Roman" w:cs="Times New Roman"/>
        </w:rPr>
        <w:t xml:space="preserve">design. Claim construction should not be used to </w:t>
      </w:r>
      <w:r w:rsidR="00531F2C">
        <w:rPr>
          <w:rFonts w:ascii="Times New Roman" w:hAnsi="Times New Roman" w:cs="Times New Roman"/>
        </w:rPr>
        <w:t xml:space="preserve">dissect and divide out visual elements of </w:t>
      </w:r>
      <w:r w:rsidRPr="00DC1A94">
        <w:rPr>
          <w:rFonts w:ascii="Times New Roman" w:hAnsi="Times New Roman" w:cs="Times New Roman"/>
        </w:rPr>
        <w:t xml:space="preserve">the overall claimed design. By analogy, in the novelty context, the relevant inquiry is whether the </w:t>
      </w:r>
      <w:r w:rsidRPr="00DC1A94">
        <w:rPr>
          <w:rFonts w:ascii="Times New Roman" w:hAnsi="Times New Roman" w:cs="Times New Roman"/>
          <w:i/>
          <w:iCs/>
        </w:rPr>
        <w:t>overall claimed design</w:t>
      </w:r>
      <w:r w:rsidRPr="00DC1A94">
        <w:rPr>
          <w:rFonts w:ascii="Times New Roman" w:hAnsi="Times New Roman" w:cs="Times New Roman"/>
        </w:rPr>
        <w:t xml:space="preserve"> is novel; individual features are not factored out of the claim merely because those features may appear in </w:t>
      </w:r>
      <w:proofErr w:type="gramStart"/>
      <w:r w:rsidRPr="00DC1A94">
        <w:rPr>
          <w:rFonts w:ascii="Times New Roman" w:hAnsi="Times New Roman" w:cs="Times New Roman"/>
        </w:rPr>
        <w:t>the prior</w:t>
      </w:r>
      <w:proofErr w:type="gramEnd"/>
      <w:r w:rsidRPr="00DC1A94">
        <w:rPr>
          <w:rFonts w:ascii="Times New Roman" w:hAnsi="Times New Roman" w:cs="Times New Roman"/>
        </w:rPr>
        <w:t xml:space="preserve"> art. The same holistic principle should govern the assessment of ornamentality and infringement in design patent law.</w:t>
      </w:r>
      <w:r w:rsidR="00671790">
        <w:rPr>
          <w:rFonts w:ascii="Times New Roman" w:hAnsi="Times New Roman" w:cs="Times New Roman"/>
        </w:rPr>
        <w:t xml:space="preserve"> </w:t>
      </w:r>
      <w:r w:rsidRPr="00DC1A94">
        <w:rPr>
          <w:rFonts w:ascii="Times New Roman" w:hAnsi="Times New Roman" w:cs="Times New Roman"/>
        </w:rPr>
        <w:t xml:space="preserve">Functionality, or more precisely </w:t>
      </w:r>
      <w:r w:rsidRPr="00DC1A94">
        <w:rPr>
          <w:rFonts w:ascii="Times New Roman" w:hAnsi="Times New Roman" w:cs="Times New Roman"/>
          <w:i/>
          <w:iCs/>
        </w:rPr>
        <w:t>lack of ornamentality</w:t>
      </w:r>
      <w:r w:rsidRPr="00DC1A94">
        <w:rPr>
          <w:rFonts w:ascii="Times New Roman" w:hAnsi="Times New Roman" w:cs="Times New Roman"/>
        </w:rPr>
        <w:t xml:space="preserve">, is </w:t>
      </w:r>
      <w:r w:rsidR="00531F2C">
        <w:rPr>
          <w:rFonts w:ascii="Times New Roman" w:hAnsi="Times New Roman" w:cs="Times New Roman"/>
        </w:rPr>
        <w:t xml:space="preserve">solely </w:t>
      </w:r>
      <w:r w:rsidRPr="00DC1A94">
        <w:rPr>
          <w:rFonts w:ascii="Times New Roman" w:hAnsi="Times New Roman" w:cs="Times New Roman"/>
        </w:rPr>
        <w:t>a question of validity to be assessed at the macro leve</w:t>
      </w:r>
      <w:r w:rsidR="00701D98">
        <w:rPr>
          <w:rFonts w:ascii="Times New Roman" w:hAnsi="Times New Roman" w:cs="Times New Roman"/>
        </w:rPr>
        <w:t>l</w:t>
      </w:r>
      <w:r w:rsidR="00531F2C">
        <w:rPr>
          <w:rFonts w:ascii="Times New Roman" w:hAnsi="Times New Roman" w:cs="Times New Roman"/>
        </w:rPr>
        <w:t xml:space="preserve"> </w:t>
      </w:r>
      <w:r w:rsidRPr="00DC1A94">
        <w:rPr>
          <w:rFonts w:ascii="Times New Roman" w:hAnsi="Times New Roman" w:cs="Times New Roman"/>
        </w:rPr>
        <w:t xml:space="preserve">i.e., whether the </w:t>
      </w:r>
      <w:r w:rsidR="00531F2C">
        <w:rPr>
          <w:rFonts w:ascii="Times New Roman" w:hAnsi="Times New Roman" w:cs="Times New Roman"/>
        </w:rPr>
        <w:lastRenderedPageBreak/>
        <w:t xml:space="preserve">appearance of the </w:t>
      </w:r>
      <w:r w:rsidRPr="00DC1A94">
        <w:rPr>
          <w:rFonts w:ascii="Times New Roman" w:hAnsi="Times New Roman" w:cs="Times New Roman"/>
        </w:rPr>
        <w:t xml:space="preserve">design </w:t>
      </w:r>
      <w:proofErr w:type="gramStart"/>
      <w:r w:rsidRPr="00DC1A94">
        <w:rPr>
          <w:rFonts w:ascii="Times New Roman" w:hAnsi="Times New Roman" w:cs="Times New Roman"/>
        </w:rPr>
        <w:t>as a whole is</w:t>
      </w:r>
      <w:proofErr w:type="gramEnd"/>
      <w:r w:rsidRPr="00DC1A94">
        <w:rPr>
          <w:rFonts w:ascii="Times New Roman" w:hAnsi="Times New Roman" w:cs="Times New Roman"/>
        </w:rPr>
        <w:t xml:space="preserve"> </w:t>
      </w:r>
      <w:r w:rsidR="00531F2C">
        <w:rPr>
          <w:rFonts w:ascii="Times New Roman" w:hAnsi="Times New Roman" w:cs="Times New Roman"/>
        </w:rPr>
        <w:t xml:space="preserve">dictated </w:t>
      </w:r>
      <w:r w:rsidR="00671790">
        <w:rPr>
          <w:rFonts w:ascii="Times New Roman" w:hAnsi="Times New Roman" w:cs="Times New Roman"/>
        </w:rPr>
        <w:t xml:space="preserve">solely </w:t>
      </w:r>
      <w:r w:rsidR="00531F2C">
        <w:rPr>
          <w:rFonts w:ascii="Times New Roman" w:hAnsi="Times New Roman" w:cs="Times New Roman"/>
        </w:rPr>
        <w:t>by function</w:t>
      </w:r>
      <w:r w:rsidR="00701D98">
        <w:rPr>
          <w:rFonts w:ascii="Times New Roman" w:hAnsi="Times New Roman" w:cs="Times New Roman"/>
        </w:rPr>
        <w:t xml:space="preserve">, </w:t>
      </w:r>
      <w:r w:rsidRPr="00DC1A94">
        <w:rPr>
          <w:rFonts w:ascii="Times New Roman" w:hAnsi="Times New Roman" w:cs="Times New Roman"/>
        </w:rPr>
        <w:t xml:space="preserve">not at the micro, feature-by-feature level. </w:t>
      </w:r>
      <w:r w:rsidRPr="00671790">
        <w:rPr>
          <w:rFonts w:ascii="Times New Roman" w:hAnsi="Times New Roman" w:cs="Times New Roman"/>
          <w:i/>
          <w:iCs/>
        </w:rPr>
        <w:t>See</w:t>
      </w:r>
      <w:r w:rsidRPr="00DC1A94">
        <w:rPr>
          <w:rFonts w:ascii="Times New Roman" w:hAnsi="Times New Roman" w:cs="Times New Roman"/>
        </w:rPr>
        <w:t xml:space="preserve"> Christopher V. Carani, </w:t>
      </w:r>
      <w:r w:rsidRPr="00DC1A94">
        <w:rPr>
          <w:rFonts w:ascii="Times New Roman" w:hAnsi="Times New Roman" w:cs="Times New Roman"/>
          <w:i/>
          <w:iCs/>
        </w:rPr>
        <w:t>All or Nothing at All: Design Patent’s Ornamentality Requirement and the Failings of Feature Filtration</w:t>
      </w:r>
      <w:r w:rsidRPr="00DC1A94">
        <w:rPr>
          <w:rFonts w:ascii="Times New Roman" w:hAnsi="Times New Roman" w:cs="Times New Roman"/>
        </w:rPr>
        <w:t>, 36 Berkeley Tech. L.J. 213 (2021).</w:t>
      </w:r>
    </w:p>
    <w:p w14:paraId="35716475" w14:textId="46BB4324" w:rsidR="00B67E13" w:rsidRPr="00B67E13" w:rsidRDefault="00B67E13" w:rsidP="00B67E13">
      <w:pPr>
        <w:jc w:val="both"/>
        <w:rPr>
          <w:rFonts w:ascii="Times New Roman" w:hAnsi="Times New Roman" w:cs="Times New Roman"/>
        </w:rPr>
      </w:pPr>
      <w:r w:rsidRPr="00B67E13">
        <w:rPr>
          <w:rFonts w:ascii="Times New Roman" w:hAnsi="Times New Roman" w:cs="Times New Roman"/>
        </w:rPr>
        <w:t xml:space="preserve">If a petition for rehearing or rehearing </w:t>
      </w:r>
      <w:proofErr w:type="spellStart"/>
      <w:r w:rsidRPr="00CD1C36">
        <w:rPr>
          <w:rFonts w:ascii="Times New Roman" w:hAnsi="Times New Roman" w:cs="Times New Roman"/>
          <w:i/>
          <w:iCs/>
        </w:rPr>
        <w:t>en</w:t>
      </w:r>
      <w:proofErr w:type="spellEnd"/>
      <w:r w:rsidRPr="00CD1C36">
        <w:rPr>
          <w:rFonts w:ascii="Times New Roman" w:hAnsi="Times New Roman" w:cs="Times New Roman"/>
          <w:i/>
          <w:iCs/>
        </w:rPr>
        <w:t xml:space="preserve"> banc</w:t>
      </w:r>
      <w:r w:rsidRPr="00B67E13">
        <w:rPr>
          <w:rFonts w:ascii="Times New Roman" w:hAnsi="Times New Roman" w:cs="Times New Roman"/>
        </w:rPr>
        <w:t xml:space="preserve"> is sought, this tension between </w:t>
      </w:r>
      <w:r w:rsidRPr="00B67E13">
        <w:rPr>
          <w:rFonts w:ascii="Times New Roman" w:hAnsi="Times New Roman" w:cs="Times New Roman"/>
          <w:i/>
          <w:iCs/>
        </w:rPr>
        <w:t>Range of Motion</w:t>
      </w:r>
      <w:r w:rsidRPr="00B67E13">
        <w:rPr>
          <w:rFonts w:ascii="Times New Roman" w:hAnsi="Times New Roman" w:cs="Times New Roman"/>
        </w:rPr>
        <w:t xml:space="preserve"> and prior Federal Circuit precedent on feature filtration and claim construction is likely to be brought squarely back to the court’s attention.</w:t>
      </w:r>
    </w:p>
    <w:p w14:paraId="226582BE" w14:textId="766CAF6C" w:rsidR="00531F2C" w:rsidRPr="00531F2C" w:rsidRDefault="00531F2C" w:rsidP="00531F2C">
      <w:pPr>
        <w:jc w:val="both"/>
        <w:rPr>
          <w:rFonts w:ascii="Times New Roman" w:hAnsi="Times New Roman" w:cs="Times New Roman"/>
          <w:b/>
          <w:bCs/>
        </w:rPr>
      </w:pPr>
      <w:r w:rsidRPr="00531F2C">
        <w:rPr>
          <w:rFonts w:ascii="Times New Roman" w:hAnsi="Times New Roman" w:cs="Times New Roman"/>
          <w:b/>
          <w:bCs/>
        </w:rPr>
        <w:t>Plainly Dissimilar</w:t>
      </w:r>
      <w:r>
        <w:rPr>
          <w:rFonts w:ascii="Times New Roman" w:hAnsi="Times New Roman" w:cs="Times New Roman"/>
          <w:b/>
          <w:bCs/>
        </w:rPr>
        <w:t xml:space="preserve"> </w:t>
      </w:r>
      <w:r w:rsidRPr="00531F2C">
        <w:rPr>
          <w:rFonts w:ascii="Times New Roman" w:hAnsi="Times New Roman" w:cs="Times New Roman"/>
          <w:b/>
          <w:bCs/>
        </w:rPr>
        <w:t>and Thus Not Infringed</w:t>
      </w:r>
    </w:p>
    <w:p w14:paraId="7D906099" w14:textId="7DF132C5" w:rsidR="005B1962" w:rsidRDefault="001D67B7" w:rsidP="00614D84">
      <w:pPr>
        <w:jc w:val="both"/>
        <w:rPr>
          <w:rFonts w:ascii="Times New Roman" w:hAnsi="Times New Roman" w:cs="Times New Roman"/>
        </w:rPr>
      </w:pPr>
      <w:r>
        <w:rPr>
          <w:rFonts w:ascii="Times New Roman" w:hAnsi="Times New Roman" w:cs="Times New Roman"/>
        </w:rPr>
        <w:t>The Court</w:t>
      </w:r>
      <w:r w:rsidR="00A523CF" w:rsidRPr="00F920F5">
        <w:rPr>
          <w:rFonts w:ascii="Times New Roman" w:hAnsi="Times New Roman" w:cs="Times New Roman"/>
        </w:rPr>
        <w:t xml:space="preserve"> </w:t>
      </w:r>
      <w:r>
        <w:rPr>
          <w:rFonts w:ascii="Times New Roman" w:hAnsi="Times New Roman" w:cs="Times New Roman"/>
        </w:rPr>
        <w:t>explained that it did not wholly eliminate visual features, such as the arms, as it still</w:t>
      </w:r>
      <w:r w:rsidR="00F920F5" w:rsidRPr="00F920F5">
        <w:rPr>
          <w:rFonts w:ascii="Times New Roman" w:hAnsi="Times New Roman" w:cs="Times New Roman"/>
        </w:rPr>
        <w:t xml:space="preserve"> </w:t>
      </w:r>
      <w:r w:rsidR="00A523CF" w:rsidRPr="00F920F5">
        <w:rPr>
          <w:rFonts w:ascii="Times New Roman" w:hAnsi="Times New Roman" w:cs="Times New Roman"/>
        </w:rPr>
        <w:t xml:space="preserve">considered </w:t>
      </w:r>
      <w:r>
        <w:rPr>
          <w:rFonts w:ascii="Times New Roman" w:hAnsi="Times New Roman" w:cs="Times New Roman"/>
        </w:rPr>
        <w:t>them</w:t>
      </w:r>
      <w:r w:rsidR="00F920F5" w:rsidRPr="00F920F5">
        <w:rPr>
          <w:rFonts w:ascii="Times New Roman" w:hAnsi="Times New Roman" w:cs="Times New Roman"/>
        </w:rPr>
        <w:t xml:space="preserve"> “for their ornamental aspects and the way they contribute to the overall design</w:t>
      </w:r>
      <w:r>
        <w:rPr>
          <w:rFonts w:ascii="Times New Roman" w:hAnsi="Times New Roman" w:cs="Times New Roman"/>
        </w:rPr>
        <w:t>.</w:t>
      </w:r>
      <w:r w:rsidR="00F920F5" w:rsidRPr="00F920F5">
        <w:rPr>
          <w:rFonts w:ascii="Times New Roman" w:hAnsi="Times New Roman" w:cs="Times New Roman"/>
        </w:rPr>
        <w:t xml:space="preserve">” </w:t>
      </w:r>
      <w:r>
        <w:rPr>
          <w:rFonts w:ascii="Times New Roman" w:hAnsi="Times New Roman" w:cs="Times New Roman"/>
        </w:rPr>
        <w:t xml:space="preserve">But the opinion makes clear that court did “factor out” at least </w:t>
      </w:r>
      <w:r w:rsidRPr="004A2346">
        <w:rPr>
          <w:rFonts w:ascii="Times New Roman" w:hAnsi="Times New Roman" w:cs="Times New Roman"/>
          <w:i/>
          <w:iCs/>
        </w:rPr>
        <w:t>the shape</w:t>
      </w:r>
      <w:r>
        <w:rPr>
          <w:rFonts w:ascii="Times New Roman" w:hAnsi="Times New Roman" w:cs="Times New Roman"/>
        </w:rPr>
        <w:t xml:space="preserve"> of the arms</w:t>
      </w:r>
      <w:r w:rsidR="00F920F5">
        <w:rPr>
          <w:rFonts w:ascii="Times New Roman" w:hAnsi="Times New Roman" w:cs="Times New Roman"/>
        </w:rPr>
        <w:t xml:space="preserve"> </w:t>
      </w:r>
      <w:proofErr w:type="gramStart"/>
      <w:r w:rsidR="00F920F5" w:rsidRPr="00F920F5">
        <w:rPr>
          <w:rFonts w:ascii="Times New Roman" w:hAnsi="Times New Roman" w:cs="Times New Roman"/>
        </w:rPr>
        <w:t>on</w:t>
      </w:r>
      <w:r w:rsidR="00F920F5">
        <w:rPr>
          <w:rFonts w:ascii="Times New Roman" w:hAnsi="Times New Roman" w:cs="Times New Roman"/>
        </w:rPr>
        <w:t xml:space="preserve"> the</w:t>
      </w:r>
      <w:r w:rsidR="00F920F5" w:rsidRPr="00F920F5">
        <w:rPr>
          <w:rFonts w:ascii="Times New Roman" w:hAnsi="Times New Roman" w:cs="Times New Roman"/>
        </w:rPr>
        <w:t xml:space="preserve"> basis of</w:t>
      </w:r>
      <w:proofErr w:type="gramEnd"/>
      <w:r w:rsidR="00F920F5" w:rsidRPr="00F920F5">
        <w:rPr>
          <w:rFonts w:ascii="Times New Roman" w:hAnsi="Times New Roman" w:cs="Times New Roman"/>
        </w:rPr>
        <w:t xml:space="preserve"> functionality</w:t>
      </w:r>
      <w:r>
        <w:rPr>
          <w:rFonts w:ascii="Times New Roman" w:hAnsi="Times New Roman" w:cs="Times New Roman"/>
        </w:rPr>
        <w:t>.  Indeed, t</w:t>
      </w:r>
      <w:r w:rsidR="00213749">
        <w:rPr>
          <w:rFonts w:ascii="Times New Roman" w:hAnsi="Times New Roman" w:cs="Times New Roman"/>
        </w:rPr>
        <w:t xml:space="preserve">he Court </w:t>
      </w:r>
      <w:r>
        <w:rPr>
          <w:rFonts w:ascii="Times New Roman" w:hAnsi="Times New Roman" w:cs="Times New Roman"/>
        </w:rPr>
        <w:t xml:space="preserve">cites with approval the controversial practice of using </w:t>
      </w:r>
      <w:r w:rsidR="00213749">
        <w:rPr>
          <w:rFonts w:ascii="Times New Roman" w:hAnsi="Times New Roman" w:cs="Times New Roman"/>
        </w:rPr>
        <w:t>“claim construction</w:t>
      </w:r>
      <w:r>
        <w:rPr>
          <w:rFonts w:ascii="Times New Roman" w:hAnsi="Times New Roman" w:cs="Times New Roman"/>
        </w:rPr>
        <w:t xml:space="preserve"> </w:t>
      </w:r>
      <w:r w:rsidR="00213749">
        <w:rPr>
          <w:rFonts w:ascii="Times New Roman" w:hAnsi="Times New Roman" w:cs="Times New Roman"/>
        </w:rPr>
        <w:t>to remove functional elements from design patents</w:t>
      </w:r>
      <w:r>
        <w:rPr>
          <w:rFonts w:ascii="Times New Roman" w:hAnsi="Times New Roman" w:cs="Times New Roman"/>
        </w:rPr>
        <w:t>.</w:t>
      </w:r>
      <w:r w:rsidR="00213749">
        <w:rPr>
          <w:rFonts w:ascii="Times New Roman" w:hAnsi="Times New Roman" w:cs="Times New Roman"/>
        </w:rPr>
        <w:t xml:space="preserve">” </w:t>
      </w:r>
      <w:r>
        <w:rPr>
          <w:rFonts w:ascii="Times New Roman" w:hAnsi="Times New Roman" w:cs="Times New Roman"/>
        </w:rPr>
        <w:t>It was only a</w:t>
      </w:r>
      <w:r w:rsidR="00F920F5">
        <w:rPr>
          <w:rFonts w:ascii="Times New Roman" w:hAnsi="Times New Roman" w:cs="Times New Roman"/>
        </w:rPr>
        <w:t xml:space="preserve">fter the Court “separate[d] out functional aspects,” </w:t>
      </w:r>
      <w:r w:rsidR="005E7E87">
        <w:rPr>
          <w:rFonts w:ascii="Times New Roman" w:hAnsi="Times New Roman" w:cs="Times New Roman"/>
        </w:rPr>
        <w:t xml:space="preserve">that </w:t>
      </w:r>
      <w:r w:rsidR="00F920F5">
        <w:rPr>
          <w:rFonts w:ascii="Times New Roman" w:hAnsi="Times New Roman" w:cs="Times New Roman"/>
        </w:rPr>
        <w:t xml:space="preserve">it concluded that </w:t>
      </w:r>
      <w:r w:rsidR="00531F2C" w:rsidRPr="00531F2C">
        <w:rPr>
          <w:rFonts w:ascii="Times New Roman" w:hAnsi="Times New Roman" w:cs="Times New Roman"/>
        </w:rPr>
        <w:t xml:space="preserve">the </w:t>
      </w:r>
      <w:r w:rsidR="005E7E87">
        <w:rPr>
          <w:rFonts w:ascii="Times New Roman" w:hAnsi="Times New Roman" w:cs="Times New Roman"/>
        </w:rPr>
        <w:t xml:space="preserve">few </w:t>
      </w:r>
      <w:r w:rsidR="00531F2C" w:rsidRPr="00531F2C">
        <w:rPr>
          <w:rFonts w:ascii="Times New Roman" w:hAnsi="Times New Roman" w:cs="Times New Roman"/>
        </w:rPr>
        <w:t xml:space="preserve">remaining </w:t>
      </w:r>
      <w:r w:rsidR="00A523CF">
        <w:rPr>
          <w:rFonts w:ascii="Times New Roman" w:hAnsi="Times New Roman" w:cs="Times New Roman"/>
        </w:rPr>
        <w:t>aspects of</w:t>
      </w:r>
      <w:r w:rsidR="00DD07C9">
        <w:rPr>
          <w:rFonts w:ascii="Times New Roman" w:hAnsi="Times New Roman" w:cs="Times New Roman"/>
        </w:rPr>
        <w:t xml:space="preserve"> the</w:t>
      </w:r>
      <w:r w:rsidR="00A523CF">
        <w:rPr>
          <w:rFonts w:ascii="Times New Roman" w:hAnsi="Times New Roman" w:cs="Times New Roman"/>
        </w:rPr>
        <w:t xml:space="preserve"> </w:t>
      </w:r>
      <w:r w:rsidR="00531F2C" w:rsidRPr="00531F2C">
        <w:rPr>
          <w:rFonts w:ascii="Times New Roman" w:hAnsi="Times New Roman" w:cs="Times New Roman"/>
        </w:rPr>
        <w:t>claimed design</w:t>
      </w:r>
      <w:r w:rsidR="00614D84">
        <w:rPr>
          <w:rFonts w:ascii="Times New Roman" w:hAnsi="Times New Roman" w:cs="Times New Roman"/>
        </w:rPr>
        <w:t>, when compared</w:t>
      </w:r>
      <w:r w:rsidR="00531F2C" w:rsidRPr="00531F2C">
        <w:rPr>
          <w:rFonts w:ascii="Times New Roman" w:hAnsi="Times New Roman" w:cs="Times New Roman"/>
        </w:rPr>
        <w:t xml:space="preserve"> to the corresponding portions of the accused </w:t>
      </w:r>
      <w:proofErr w:type="spellStart"/>
      <w:r w:rsidR="00531F2C" w:rsidRPr="00531F2C">
        <w:rPr>
          <w:rFonts w:ascii="Times New Roman" w:hAnsi="Times New Roman" w:cs="Times New Roman"/>
        </w:rPr>
        <w:t>Armaid</w:t>
      </w:r>
      <w:proofErr w:type="spellEnd"/>
      <w:r w:rsidR="00531F2C" w:rsidRPr="00531F2C">
        <w:rPr>
          <w:rFonts w:ascii="Times New Roman" w:hAnsi="Times New Roman" w:cs="Times New Roman"/>
        </w:rPr>
        <w:t xml:space="preserve"> 2</w:t>
      </w:r>
      <w:r w:rsidR="00614D84">
        <w:rPr>
          <w:rFonts w:ascii="Times New Roman" w:hAnsi="Times New Roman" w:cs="Times New Roman"/>
        </w:rPr>
        <w:t>,</w:t>
      </w:r>
      <w:r w:rsidR="00531F2C" w:rsidRPr="00531F2C">
        <w:rPr>
          <w:rFonts w:ascii="Times New Roman" w:hAnsi="Times New Roman" w:cs="Times New Roman"/>
        </w:rPr>
        <w:t xml:space="preserve"> were “plainly dissimilar” in</w:t>
      </w:r>
      <w:r w:rsidR="005E7E87">
        <w:rPr>
          <w:rFonts w:ascii="Times New Roman" w:hAnsi="Times New Roman" w:cs="Times New Roman"/>
        </w:rPr>
        <w:t xml:space="preserve"> </w:t>
      </w:r>
      <w:r w:rsidR="00531F2C" w:rsidRPr="00531F2C">
        <w:rPr>
          <w:rFonts w:ascii="Times New Roman" w:hAnsi="Times New Roman" w:cs="Times New Roman"/>
        </w:rPr>
        <w:t xml:space="preserve">appearance. </w:t>
      </w:r>
      <w:r w:rsidR="00A523CF">
        <w:rPr>
          <w:rFonts w:ascii="Times New Roman" w:hAnsi="Times New Roman" w:cs="Times New Roman"/>
        </w:rPr>
        <w:t>Accordingly,</w:t>
      </w:r>
      <w:r w:rsidR="00614D84">
        <w:rPr>
          <w:rFonts w:ascii="Times New Roman" w:hAnsi="Times New Roman" w:cs="Times New Roman"/>
        </w:rPr>
        <w:t xml:space="preserve"> </w:t>
      </w:r>
      <w:r w:rsidR="00051CC3">
        <w:rPr>
          <w:rFonts w:ascii="Times New Roman" w:hAnsi="Times New Roman" w:cs="Times New Roman"/>
        </w:rPr>
        <w:t xml:space="preserve">the Court </w:t>
      </w:r>
      <w:r w:rsidR="003D2E50">
        <w:rPr>
          <w:rFonts w:ascii="Times New Roman" w:hAnsi="Times New Roman" w:cs="Times New Roman"/>
        </w:rPr>
        <w:t xml:space="preserve">appears to have </w:t>
      </w:r>
      <w:r w:rsidR="00051CC3" w:rsidRPr="00531F2C">
        <w:rPr>
          <w:rFonts w:ascii="Times New Roman" w:hAnsi="Times New Roman" w:cs="Times New Roman"/>
        </w:rPr>
        <w:t>expressly excluded from the infringement analysis</w:t>
      </w:r>
      <w:r w:rsidR="00051CC3">
        <w:rPr>
          <w:rFonts w:ascii="Times New Roman" w:hAnsi="Times New Roman" w:cs="Times New Roman"/>
        </w:rPr>
        <w:t xml:space="preserve"> </w:t>
      </w:r>
      <w:r w:rsidR="00A523CF">
        <w:rPr>
          <w:rFonts w:ascii="Times New Roman" w:hAnsi="Times New Roman" w:cs="Times New Roman"/>
        </w:rPr>
        <w:t>any v</w:t>
      </w:r>
      <w:r w:rsidR="00A523CF" w:rsidRPr="00531F2C">
        <w:rPr>
          <w:rFonts w:ascii="Times New Roman" w:hAnsi="Times New Roman" w:cs="Times New Roman"/>
        </w:rPr>
        <w:t xml:space="preserve">isual </w:t>
      </w:r>
      <w:r w:rsidR="00531F2C" w:rsidRPr="00531F2C">
        <w:rPr>
          <w:rFonts w:ascii="Times New Roman" w:hAnsi="Times New Roman" w:cs="Times New Roman"/>
        </w:rPr>
        <w:t>similarities between the claimed design and the accused product in the factored-out areas</w:t>
      </w:r>
      <w:r w:rsidR="00051CC3">
        <w:rPr>
          <w:rFonts w:ascii="Times New Roman" w:hAnsi="Times New Roman" w:cs="Times New Roman"/>
        </w:rPr>
        <w:t xml:space="preserve">, </w:t>
      </w:r>
      <w:r w:rsidR="00531F2C" w:rsidRPr="00531F2C">
        <w:rPr>
          <w:rFonts w:ascii="Times New Roman" w:hAnsi="Times New Roman" w:cs="Times New Roman"/>
        </w:rPr>
        <w:t>such as the shape of the arms</w:t>
      </w:r>
      <w:r w:rsidR="00051CC3">
        <w:rPr>
          <w:rFonts w:ascii="Times New Roman" w:hAnsi="Times New Roman" w:cs="Times New Roman"/>
        </w:rPr>
        <w:t>.</w:t>
      </w:r>
    </w:p>
    <w:p w14:paraId="63675786" w14:textId="26D2DEB6" w:rsidR="000667E4" w:rsidRPr="000667E4" w:rsidRDefault="000667E4" w:rsidP="00614D84">
      <w:pPr>
        <w:jc w:val="both"/>
        <w:rPr>
          <w:rFonts w:ascii="Times New Roman" w:hAnsi="Times New Roman" w:cs="Times New Roman"/>
          <w:b/>
          <w:bCs/>
        </w:rPr>
      </w:pPr>
      <w:r>
        <w:rPr>
          <w:rFonts w:ascii="Times New Roman" w:hAnsi="Times New Roman" w:cs="Times New Roman"/>
          <w:b/>
          <w:bCs/>
        </w:rPr>
        <w:t>The Dissent</w:t>
      </w:r>
    </w:p>
    <w:p w14:paraId="140597AE" w14:textId="0EF1AFB5" w:rsidR="00341C25" w:rsidRDefault="005B1962" w:rsidP="005B1962">
      <w:pPr>
        <w:jc w:val="both"/>
        <w:rPr>
          <w:rFonts w:ascii="Times New Roman" w:hAnsi="Times New Roman" w:cs="Times New Roman"/>
        </w:rPr>
      </w:pPr>
      <w:r w:rsidRPr="005B1962">
        <w:rPr>
          <w:rFonts w:ascii="Times New Roman" w:hAnsi="Times New Roman" w:cs="Times New Roman"/>
        </w:rPr>
        <w:t xml:space="preserve">Chief Judge Moore dissented, sharply criticizing the majority’s reliance on the “plainly dissimilar” framework at the summary judgment stage. In her view, the ordinary observer test articulated by the Supreme Court in </w:t>
      </w:r>
      <w:r w:rsidRPr="005B1962">
        <w:rPr>
          <w:rFonts w:ascii="Times New Roman" w:hAnsi="Times New Roman" w:cs="Times New Roman"/>
          <w:i/>
          <w:iCs/>
        </w:rPr>
        <w:t>Gorham</w:t>
      </w:r>
      <w:r w:rsidR="00DD07C9">
        <w:rPr>
          <w:rFonts w:ascii="Times New Roman" w:hAnsi="Times New Roman" w:cs="Times New Roman"/>
          <w:i/>
          <w:iCs/>
        </w:rPr>
        <w:t xml:space="preserve"> Co.</w:t>
      </w:r>
      <w:r w:rsidRPr="005B1962">
        <w:rPr>
          <w:rFonts w:ascii="Times New Roman" w:hAnsi="Times New Roman" w:cs="Times New Roman"/>
          <w:i/>
          <w:iCs/>
        </w:rPr>
        <w:t xml:space="preserve"> v. White</w:t>
      </w:r>
      <w:r w:rsidR="00DD07C9">
        <w:rPr>
          <w:rFonts w:ascii="Times New Roman" w:hAnsi="Times New Roman" w:cs="Times New Roman"/>
        </w:rPr>
        <w:t>, 81 U.S. 511 (1871)</w:t>
      </w:r>
      <w:r w:rsidRPr="005B1962">
        <w:rPr>
          <w:rFonts w:ascii="Times New Roman" w:hAnsi="Times New Roman" w:cs="Times New Roman"/>
        </w:rPr>
        <w:t xml:space="preserve"> requires a fact-intensive assessment of whether the overall designs are substantially </w:t>
      </w:r>
      <w:r w:rsidR="0063402C">
        <w:rPr>
          <w:rFonts w:ascii="Times New Roman" w:hAnsi="Times New Roman" w:cs="Times New Roman"/>
        </w:rPr>
        <w:t>the same</w:t>
      </w:r>
      <w:r w:rsidRPr="005B1962">
        <w:rPr>
          <w:rFonts w:ascii="Times New Roman" w:hAnsi="Times New Roman" w:cs="Times New Roman"/>
        </w:rPr>
        <w:t xml:space="preserve">, a question that should ordinarily be reserved for the jury. </w:t>
      </w:r>
      <w:r w:rsidR="005C1776">
        <w:rPr>
          <w:rFonts w:ascii="Times New Roman" w:hAnsi="Times New Roman" w:cs="Times New Roman"/>
        </w:rPr>
        <w:t xml:space="preserve">Further, she </w:t>
      </w:r>
      <w:r w:rsidR="00341C25">
        <w:rPr>
          <w:rFonts w:ascii="Times New Roman" w:hAnsi="Times New Roman" w:cs="Times New Roman"/>
        </w:rPr>
        <w:t>astutely</w:t>
      </w:r>
      <w:r w:rsidR="005C1776">
        <w:rPr>
          <w:rFonts w:ascii="Times New Roman" w:hAnsi="Times New Roman" w:cs="Times New Roman"/>
        </w:rPr>
        <w:t xml:space="preserve"> pointed out</w:t>
      </w:r>
      <w:r w:rsidRPr="005B1962">
        <w:rPr>
          <w:rFonts w:ascii="Times New Roman" w:hAnsi="Times New Roman" w:cs="Times New Roman"/>
        </w:rPr>
        <w:t xml:space="preserve"> that focusing on differences</w:t>
      </w:r>
      <w:r w:rsidR="0063402C">
        <w:rPr>
          <w:rFonts w:ascii="Times New Roman" w:hAnsi="Times New Roman" w:cs="Times New Roman"/>
        </w:rPr>
        <w:t xml:space="preserve">, </w:t>
      </w:r>
      <w:r w:rsidRPr="005B1962">
        <w:rPr>
          <w:rFonts w:ascii="Times New Roman" w:hAnsi="Times New Roman" w:cs="Times New Roman"/>
        </w:rPr>
        <w:t>rather than similarities</w:t>
      </w:r>
      <w:r w:rsidR="0063402C">
        <w:rPr>
          <w:rFonts w:ascii="Times New Roman" w:hAnsi="Times New Roman" w:cs="Times New Roman"/>
        </w:rPr>
        <w:t xml:space="preserve">, </w:t>
      </w:r>
      <w:r w:rsidR="009B15E7" w:rsidRPr="005B1962">
        <w:rPr>
          <w:rFonts w:ascii="Times New Roman" w:hAnsi="Times New Roman" w:cs="Times New Roman"/>
        </w:rPr>
        <w:t>distorts the infringement analysis</w:t>
      </w:r>
      <w:r w:rsidR="009B15E7">
        <w:rPr>
          <w:rFonts w:ascii="Times New Roman" w:hAnsi="Times New Roman" w:cs="Times New Roman"/>
        </w:rPr>
        <w:t xml:space="preserve"> and </w:t>
      </w:r>
      <w:r w:rsidR="0063402C">
        <w:rPr>
          <w:rFonts w:ascii="Times New Roman" w:hAnsi="Times New Roman" w:cs="Times New Roman"/>
        </w:rPr>
        <w:t xml:space="preserve">strays from the test articulated by the Supreme Court in </w:t>
      </w:r>
      <w:r w:rsidR="0063402C" w:rsidRPr="00CD1C36">
        <w:rPr>
          <w:rFonts w:ascii="Times New Roman" w:hAnsi="Times New Roman" w:cs="Times New Roman"/>
          <w:i/>
          <w:iCs/>
        </w:rPr>
        <w:t>Gorham v. White</w:t>
      </w:r>
      <w:r w:rsidR="0063402C">
        <w:rPr>
          <w:rFonts w:ascii="Times New Roman" w:hAnsi="Times New Roman" w:cs="Times New Roman"/>
        </w:rPr>
        <w:t>.</w:t>
      </w:r>
      <w:r w:rsidR="00671790">
        <w:rPr>
          <w:rFonts w:ascii="Times New Roman" w:hAnsi="Times New Roman" w:cs="Times New Roman"/>
        </w:rPr>
        <w:t xml:space="preserve"> </w:t>
      </w:r>
      <w:r w:rsidR="00531F2C" w:rsidRPr="00531F2C">
        <w:rPr>
          <w:rFonts w:ascii="Times New Roman" w:hAnsi="Times New Roman" w:cs="Times New Roman"/>
        </w:rPr>
        <w:t>An analytical focus on differences frames the inquiry in a manner that biases the analysis toward a finding of noninfringement</w:t>
      </w:r>
      <w:r w:rsidR="00531F2C">
        <w:rPr>
          <w:rFonts w:ascii="Times New Roman" w:hAnsi="Times New Roman" w:cs="Times New Roman"/>
        </w:rPr>
        <w:t xml:space="preserve"> and in turn </w:t>
      </w:r>
      <w:r w:rsidRPr="005B1962">
        <w:rPr>
          <w:rFonts w:ascii="Times New Roman" w:hAnsi="Times New Roman" w:cs="Times New Roman"/>
        </w:rPr>
        <w:t xml:space="preserve">risks stripping juries of their role in design patent cases. Looking at the images of the asserted </w:t>
      </w:r>
      <w:r w:rsidR="00614D84" w:rsidRPr="005B1962">
        <w:rPr>
          <w:rFonts w:ascii="Times New Roman" w:hAnsi="Times New Roman" w:cs="Times New Roman"/>
        </w:rPr>
        <w:t>D</w:t>
      </w:r>
      <w:r w:rsidR="00614D84">
        <w:rPr>
          <w:rFonts w:ascii="Times New Roman" w:hAnsi="Times New Roman" w:cs="Times New Roman"/>
        </w:rPr>
        <w:t>’</w:t>
      </w:r>
      <w:r w:rsidR="00614D84" w:rsidRPr="005B1962">
        <w:rPr>
          <w:rFonts w:ascii="Times New Roman" w:hAnsi="Times New Roman" w:cs="Times New Roman"/>
        </w:rPr>
        <w:t xml:space="preserve">155 </w:t>
      </w:r>
      <w:r w:rsidRPr="005B1962">
        <w:rPr>
          <w:rFonts w:ascii="Times New Roman" w:hAnsi="Times New Roman" w:cs="Times New Roman"/>
        </w:rPr>
        <w:t xml:space="preserve">patent and </w:t>
      </w:r>
      <w:proofErr w:type="spellStart"/>
      <w:r w:rsidRPr="005B1962">
        <w:rPr>
          <w:rFonts w:ascii="Times New Roman" w:hAnsi="Times New Roman" w:cs="Times New Roman"/>
        </w:rPr>
        <w:t>Armaid</w:t>
      </w:r>
      <w:proofErr w:type="spellEnd"/>
      <w:r w:rsidR="00614D84">
        <w:rPr>
          <w:rFonts w:ascii="Times New Roman" w:hAnsi="Times New Roman" w:cs="Times New Roman"/>
        </w:rPr>
        <w:t xml:space="preserve"> </w:t>
      </w:r>
      <w:r w:rsidRPr="005B1962">
        <w:rPr>
          <w:rFonts w:ascii="Times New Roman" w:hAnsi="Times New Roman" w:cs="Times New Roman"/>
        </w:rPr>
        <w:t>2 side by side</w:t>
      </w:r>
      <w:r w:rsidR="003C2703">
        <w:rPr>
          <w:rFonts w:ascii="Times New Roman" w:hAnsi="Times New Roman" w:cs="Times New Roman"/>
        </w:rPr>
        <w:t>, especially in view of the prior art</w:t>
      </w:r>
      <w:r w:rsidRPr="005B1962">
        <w:rPr>
          <w:rFonts w:ascii="Times New Roman" w:hAnsi="Times New Roman" w:cs="Times New Roman"/>
        </w:rPr>
        <w:t xml:space="preserve">, the dissent maintained that a reasonable juror could find the designs substantially </w:t>
      </w:r>
      <w:r w:rsidR="009B15E7">
        <w:rPr>
          <w:rFonts w:ascii="Times New Roman" w:hAnsi="Times New Roman" w:cs="Times New Roman"/>
        </w:rPr>
        <w:t>the same</w:t>
      </w:r>
      <w:r w:rsidRPr="005B1962">
        <w:rPr>
          <w:rFonts w:ascii="Times New Roman" w:hAnsi="Times New Roman" w:cs="Times New Roman"/>
        </w:rPr>
        <w:t xml:space="preserve">. Forecasting the slippery slope of the </w:t>
      </w:r>
      <w:r w:rsidR="00614D84">
        <w:rPr>
          <w:rFonts w:ascii="Times New Roman" w:hAnsi="Times New Roman" w:cs="Times New Roman"/>
        </w:rPr>
        <w:t>“</w:t>
      </w:r>
      <w:r w:rsidRPr="005B1962">
        <w:rPr>
          <w:rFonts w:ascii="Times New Roman" w:hAnsi="Times New Roman" w:cs="Times New Roman"/>
        </w:rPr>
        <w:t>plainly dissimilar</w:t>
      </w:r>
      <w:r w:rsidR="00614D84">
        <w:rPr>
          <w:rFonts w:ascii="Times New Roman" w:hAnsi="Times New Roman" w:cs="Times New Roman"/>
        </w:rPr>
        <w:t>”</w:t>
      </w:r>
      <w:r w:rsidR="00614D84" w:rsidRPr="005B1962">
        <w:rPr>
          <w:rFonts w:ascii="Times New Roman" w:hAnsi="Times New Roman" w:cs="Times New Roman"/>
        </w:rPr>
        <w:t xml:space="preserve"> </w:t>
      </w:r>
      <w:r w:rsidRPr="005B1962">
        <w:rPr>
          <w:rFonts w:ascii="Times New Roman" w:hAnsi="Times New Roman" w:cs="Times New Roman"/>
        </w:rPr>
        <w:t xml:space="preserve">framework set forth in </w:t>
      </w:r>
      <w:r w:rsidRPr="005B1962">
        <w:rPr>
          <w:rFonts w:ascii="Times New Roman" w:hAnsi="Times New Roman" w:cs="Times New Roman"/>
          <w:i/>
          <w:iCs/>
        </w:rPr>
        <w:t>Egyptian Goddess</w:t>
      </w:r>
      <w:r w:rsidR="00DD07C9" w:rsidRPr="00DD07C9">
        <w:rPr>
          <w:rFonts w:ascii="Times New Roman" w:hAnsi="Times New Roman" w:cs="Times New Roman"/>
          <w:i/>
          <w:iCs/>
        </w:rPr>
        <w:t xml:space="preserve">, Inc. v. </w:t>
      </w:r>
      <w:proofErr w:type="spellStart"/>
      <w:r w:rsidR="00DD07C9" w:rsidRPr="00DD07C9">
        <w:rPr>
          <w:rFonts w:ascii="Times New Roman" w:hAnsi="Times New Roman" w:cs="Times New Roman"/>
          <w:i/>
          <w:iCs/>
        </w:rPr>
        <w:t>Swisa</w:t>
      </w:r>
      <w:proofErr w:type="spellEnd"/>
      <w:r w:rsidR="00DD07C9" w:rsidRPr="00DD07C9">
        <w:rPr>
          <w:rFonts w:ascii="Times New Roman" w:hAnsi="Times New Roman" w:cs="Times New Roman"/>
          <w:i/>
          <w:iCs/>
        </w:rPr>
        <w:t>, Inc.</w:t>
      </w:r>
      <w:r w:rsidR="00DD07C9">
        <w:rPr>
          <w:rFonts w:ascii="Times New Roman" w:hAnsi="Times New Roman" w:cs="Times New Roman"/>
        </w:rPr>
        <w:t>, 543 F.3d 665 (Fed. Cir. 2008)</w:t>
      </w:r>
      <w:r w:rsidRPr="005B1962">
        <w:rPr>
          <w:rFonts w:ascii="Times New Roman" w:hAnsi="Times New Roman" w:cs="Times New Roman"/>
        </w:rPr>
        <w:t xml:space="preserve">, Chief Judge Moore proclaimed: </w:t>
      </w:r>
      <w:r w:rsidR="00614D84">
        <w:rPr>
          <w:rFonts w:ascii="Times New Roman" w:hAnsi="Times New Roman" w:cs="Times New Roman"/>
        </w:rPr>
        <w:t>“</w:t>
      </w:r>
      <w:r w:rsidRPr="005B1962">
        <w:rPr>
          <w:rFonts w:ascii="Times New Roman" w:hAnsi="Times New Roman" w:cs="Times New Roman"/>
        </w:rPr>
        <w:t xml:space="preserve">I think we ought to correct our error in </w:t>
      </w:r>
      <w:r w:rsidRPr="005B1962">
        <w:rPr>
          <w:rFonts w:ascii="Times New Roman" w:hAnsi="Times New Roman" w:cs="Times New Roman"/>
          <w:i/>
          <w:iCs/>
        </w:rPr>
        <w:t xml:space="preserve">Egyptian Goddess </w:t>
      </w:r>
      <w:r w:rsidRPr="005B1962">
        <w:rPr>
          <w:rFonts w:ascii="Times New Roman" w:hAnsi="Times New Roman" w:cs="Times New Roman"/>
        </w:rPr>
        <w:t xml:space="preserve">and reaffirm that the substantially similar test, announced by the Supreme Court in </w:t>
      </w:r>
      <w:r w:rsidRPr="005B1962">
        <w:rPr>
          <w:rFonts w:ascii="Times New Roman" w:hAnsi="Times New Roman" w:cs="Times New Roman"/>
          <w:i/>
          <w:iCs/>
        </w:rPr>
        <w:t>Gorham</w:t>
      </w:r>
      <w:r w:rsidRPr="005B1962">
        <w:rPr>
          <w:rFonts w:ascii="Times New Roman" w:hAnsi="Times New Roman" w:cs="Times New Roman"/>
        </w:rPr>
        <w:t xml:space="preserve">, is </w:t>
      </w:r>
      <w:r w:rsidR="00614D84">
        <w:rPr>
          <w:rFonts w:ascii="Times New Roman" w:hAnsi="Times New Roman" w:cs="Times New Roman"/>
        </w:rPr>
        <w:t>‘</w:t>
      </w:r>
      <w:r w:rsidR="00614D84" w:rsidRPr="005B1962">
        <w:rPr>
          <w:rFonts w:ascii="Times New Roman" w:hAnsi="Times New Roman" w:cs="Times New Roman"/>
        </w:rPr>
        <w:t xml:space="preserve">the </w:t>
      </w:r>
      <w:r w:rsidRPr="005B1962">
        <w:rPr>
          <w:rFonts w:ascii="Times New Roman" w:hAnsi="Times New Roman" w:cs="Times New Roman"/>
        </w:rPr>
        <w:t>sole test.</w:t>
      </w:r>
      <w:r w:rsidR="00614D84">
        <w:rPr>
          <w:rFonts w:ascii="Times New Roman" w:hAnsi="Times New Roman" w:cs="Times New Roman"/>
        </w:rPr>
        <w:t>’”</w:t>
      </w:r>
      <w:r w:rsidR="00614D84" w:rsidRPr="005B1962">
        <w:rPr>
          <w:rFonts w:ascii="Times New Roman" w:hAnsi="Times New Roman" w:cs="Times New Roman"/>
        </w:rPr>
        <w:t xml:space="preserve"> </w:t>
      </w:r>
    </w:p>
    <w:p w14:paraId="69557FF7" w14:textId="192F3017" w:rsidR="003C2703" w:rsidRPr="003C2703" w:rsidRDefault="003C2703" w:rsidP="005B1962">
      <w:pPr>
        <w:jc w:val="both"/>
        <w:rPr>
          <w:rFonts w:ascii="Times New Roman" w:hAnsi="Times New Roman" w:cs="Times New Roman"/>
        </w:rPr>
      </w:pPr>
      <w:r>
        <w:rPr>
          <w:rFonts w:ascii="Times New Roman" w:hAnsi="Times New Roman" w:cs="Times New Roman"/>
        </w:rPr>
        <w:t xml:space="preserve">The dissent </w:t>
      </w:r>
      <w:proofErr w:type="gramStart"/>
      <w:r>
        <w:rPr>
          <w:rFonts w:ascii="Times New Roman" w:hAnsi="Times New Roman" w:cs="Times New Roman"/>
        </w:rPr>
        <w:t>honed in</w:t>
      </w:r>
      <w:proofErr w:type="gramEnd"/>
      <w:r>
        <w:rPr>
          <w:rFonts w:ascii="Times New Roman" w:hAnsi="Times New Roman" w:cs="Times New Roman"/>
        </w:rPr>
        <w:t xml:space="preserve"> on the notion that </w:t>
      </w:r>
      <w:r w:rsidR="00EC0795">
        <w:rPr>
          <w:rFonts w:ascii="Times New Roman" w:hAnsi="Times New Roman" w:cs="Times New Roman"/>
        </w:rPr>
        <w:t xml:space="preserve">the </w:t>
      </w:r>
      <w:r>
        <w:rPr>
          <w:rFonts w:ascii="Times New Roman" w:hAnsi="Times New Roman" w:cs="Times New Roman"/>
        </w:rPr>
        <w:t xml:space="preserve">“plainly dissimilar” framework appears to have been taken out of context from its mention in </w:t>
      </w:r>
      <w:r>
        <w:rPr>
          <w:rFonts w:ascii="Times New Roman" w:hAnsi="Times New Roman" w:cs="Times New Roman"/>
          <w:i/>
          <w:iCs/>
        </w:rPr>
        <w:t>Egyptian Goddess.</w:t>
      </w:r>
      <w:r>
        <w:rPr>
          <w:rFonts w:ascii="Times New Roman" w:hAnsi="Times New Roman" w:cs="Times New Roman"/>
          <w:b/>
          <w:bCs/>
        </w:rPr>
        <w:t xml:space="preserve"> </w:t>
      </w:r>
      <w:proofErr w:type="gramStart"/>
      <w:r>
        <w:rPr>
          <w:rFonts w:ascii="Times New Roman" w:hAnsi="Times New Roman" w:cs="Times New Roman"/>
        </w:rPr>
        <w:t>In particular</w:t>
      </w:r>
      <w:r w:rsidR="00DD07C9">
        <w:rPr>
          <w:rFonts w:ascii="Times New Roman" w:hAnsi="Times New Roman" w:cs="Times New Roman"/>
        </w:rPr>
        <w:t>,</w:t>
      </w:r>
      <w:r>
        <w:rPr>
          <w:rFonts w:ascii="Times New Roman" w:hAnsi="Times New Roman" w:cs="Times New Roman"/>
        </w:rPr>
        <w:t xml:space="preserve"> Judge</w:t>
      </w:r>
      <w:proofErr w:type="gramEnd"/>
      <w:r>
        <w:rPr>
          <w:rFonts w:ascii="Times New Roman" w:hAnsi="Times New Roman" w:cs="Times New Roman"/>
        </w:rPr>
        <w:t xml:space="preserve"> Moore explains that “</w:t>
      </w:r>
      <w:r>
        <w:rPr>
          <w:rFonts w:ascii="Times New Roman" w:hAnsi="Times New Roman" w:cs="Times New Roman"/>
          <w:i/>
          <w:iCs/>
        </w:rPr>
        <w:t xml:space="preserve">Egyptian Goddess </w:t>
      </w:r>
      <w:r>
        <w:rPr>
          <w:rFonts w:ascii="Times New Roman" w:hAnsi="Times New Roman" w:cs="Times New Roman"/>
        </w:rPr>
        <w:t xml:space="preserve">merely recognizes that in some cases, the claimed and accused designs may be so clearly not similar (or ‘dissimilar’) as to remove the need to consider the prior art.” To </w:t>
      </w:r>
      <w:r>
        <w:rPr>
          <w:rFonts w:ascii="Times New Roman" w:hAnsi="Times New Roman" w:cs="Times New Roman"/>
        </w:rPr>
        <w:lastRenderedPageBreak/>
        <w:t xml:space="preserve">correct this misinterpretation, the dissent, in following </w:t>
      </w:r>
      <w:r>
        <w:rPr>
          <w:rFonts w:ascii="Times New Roman" w:hAnsi="Times New Roman" w:cs="Times New Roman"/>
          <w:i/>
          <w:iCs/>
        </w:rPr>
        <w:t>Gorham</w:t>
      </w:r>
      <w:r>
        <w:rPr>
          <w:rFonts w:ascii="Times New Roman" w:hAnsi="Times New Roman" w:cs="Times New Roman"/>
        </w:rPr>
        <w:t>, suggests that the infringement analysis should “</w:t>
      </w:r>
      <w:r>
        <w:rPr>
          <w:rFonts w:ascii="Times New Roman" w:hAnsi="Times New Roman" w:cs="Times New Roman"/>
          <w:i/>
          <w:iCs/>
        </w:rPr>
        <w:t>always</w:t>
      </w:r>
      <w:r>
        <w:rPr>
          <w:rFonts w:ascii="Times New Roman" w:hAnsi="Times New Roman" w:cs="Times New Roman"/>
        </w:rPr>
        <w:t xml:space="preserve"> ‘compare the claimed and accused designs in light of the prior art, with no special exception for plainly dissimilar designs,” as the latter has “proved unworkable.” </w:t>
      </w:r>
    </w:p>
    <w:p w14:paraId="16D2CA1A" w14:textId="68EE6E65" w:rsidR="005B1962" w:rsidRPr="005B1962" w:rsidRDefault="005B1962" w:rsidP="005B1962">
      <w:pPr>
        <w:jc w:val="both"/>
        <w:rPr>
          <w:rFonts w:ascii="Times New Roman" w:hAnsi="Times New Roman" w:cs="Times New Roman"/>
        </w:rPr>
      </w:pPr>
      <w:r w:rsidRPr="005B1962">
        <w:rPr>
          <w:rFonts w:ascii="Times New Roman" w:hAnsi="Times New Roman" w:cs="Times New Roman"/>
        </w:rPr>
        <w:t xml:space="preserve">In </w:t>
      </w:r>
      <w:r w:rsidRPr="005B1962">
        <w:rPr>
          <w:rFonts w:ascii="Times New Roman" w:hAnsi="Times New Roman" w:cs="Times New Roman"/>
          <w:i/>
          <w:iCs/>
        </w:rPr>
        <w:t>Gorham</w:t>
      </w:r>
      <w:r w:rsidRPr="005B1962">
        <w:rPr>
          <w:rFonts w:ascii="Times New Roman" w:hAnsi="Times New Roman" w:cs="Times New Roman"/>
        </w:rPr>
        <w:t xml:space="preserve">, the Supreme Court found that White's spoon design infringed Gorham's patented spoon design as of result of the similarities </w:t>
      </w:r>
      <w:r w:rsidR="009B15E7">
        <w:rPr>
          <w:rFonts w:ascii="Times New Roman" w:hAnsi="Times New Roman" w:cs="Times New Roman"/>
        </w:rPr>
        <w:t>in</w:t>
      </w:r>
      <w:r w:rsidR="00614D84">
        <w:rPr>
          <w:rFonts w:ascii="Times New Roman" w:hAnsi="Times New Roman" w:cs="Times New Roman"/>
        </w:rPr>
        <w:t xml:space="preserve"> overall</w:t>
      </w:r>
      <w:r w:rsidR="009B15E7">
        <w:rPr>
          <w:rFonts w:ascii="Times New Roman" w:hAnsi="Times New Roman" w:cs="Times New Roman"/>
        </w:rPr>
        <w:t xml:space="preserve"> appearance </w:t>
      </w:r>
      <w:r w:rsidRPr="005B1962">
        <w:rPr>
          <w:rFonts w:ascii="Times New Roman" w:hAnsi="Times New Roman" w:cs="Times New Roman"/>
        </w:rPr>
        <w:t xml:space="preserve">between the two, rather than their </w:t>
      </w:r>
      <w:r w:rsidR="009B15E7">
        <w:rPr>
          <w:rFonts w:ascii="Times New Roman" w:hAnsi="Times New Roman" w:cs="Times New Roman"/>
        </w:rPr>
        <w:t xml:space="preserve">perceived lack of </w:t>
      </w:r>
      <w:r w:rsidRPr="005B1962">
        <w:rPr>
          <w:rFonts w:ascii="Times New Roman" w:hAnsi="Times New Roman" w:cs="Times New Roman"/>
        </w:rPr>
        <w:t xml:space="preserve">differences. An inquiry, which is properly framed by a comparison of </w:t>
      </w:r>
      <w:proofErr w:type="gramStart"/>
      <w:r w:rsidRPr="005B1962">
        <w:rPr>
          <w:rFonts w:ascii="Times New Roman" w:hAnsi="Times New Roman" w:cs="Times New Roman"/>
        </w:rPr>
        <w:t>the prior</w:t>
      </w:r>
      <w:proofErr w:type="gramEnd"/>
      <w:r w:rsidRPr="005B1962">
        <w:rPr>
          <w:rFonts w:ascii="Times New Roman" w:hAnsi="Times New Roman" w:cs="Times New Roman"/>
        </w:rPr>
        <w:t xml:space="preserve"> art</w:t>
      </w:r>
      <w:r w:rsidR="00614D84">
        <w:rPr>
          <w:rFonts w:ascii="Times New Roman" w:hAnsi="Times New Roman" w:cs="Times New Roman"/>
        </w:rPr>
        <w:t>,</w:t>
      </w:r>
      <w:r w:rsidRPr="005B1962">
        <w:rPr>
          <w:rFonts w:ascii="Times New Roman" w:hAnsi="Times New Roman" w:cs="Times New Roman"/>
        </w:rPr>
        <w:t xml:space="preserve"> should be left to the jury. </w:t>
      </w:r>
      <w:r w:rsidR="005E7E87">
        <w:rPr>
          <w:rFonts w:ascii="Times New Roman" w:hAnsi="Times New Roman" w:cs="Times New Roman"/>
        </w:rPr>
        <w:t xml:space="preserve"> </w:t>
      </w:r>
      <w:r w:rsidR="005E7E87" w:rsidRPr="005E7E87">
        <w:rPr>
          <w:rFonts w:ascii="Times New Roman" w:hAnsi="Times New Roman" w:cs="Times New Roman"/>
        </w:rPr>
        <w:t xml:space="preserve">It is worth noting that, unlike the majority’s feature-filtration approach, the Supreme Court in </w:t>
      </w:r>
      <w:r w:rsidR="005E7E87" w:rsidRPr="005E7E87">
        <w:rPr>
          <w:rFonts w:ascii="Times New Roman" w:hAnsi="Times New Roman" w:cs="Times New Roman"/>
          <w:i/>
          <w:iCs/>
        </w:rPr>
        <w:t>Gorham</w:t>
      </w:r>
      <w:r w:rsidR="005E7E87" w:rsidRPr="005E7E87">
        <w:rPr>
          <w:rFonts w:ascii="Times New Roman" w:hAnsi="Times New Roman" w:cs="Times New Roman"/>
        </w:rPr>
        <w:t xml:space="preserve"> made no effort to remove visual features from the claimed design</w:t>
      </w:r>
      <w:r w:rsidR="005E7E87">
        <w:rPr>
          <w:rFonts w:ascii="Times New Roman" w:hAnsi="Times New Roman" w:cs="Times New Roman"/>
        </w:rPr>
        <w:t xml:space="preserve"> (such as the functional handle and mid-section stem)</w:t>
      </w:r>
      <w:r w:rsidR="005E7E87" w:rsidRPr="005E7E87">
        <w:rPr>
          <w:rFonts w:ascii="Times New Roman" w:hAnsi="Times New Roman" w:cs="Times New Roman"/>
        </w:rPr>
        <w:t xml:space="preserve"> </w:t>
      </w:r>
      <w:proofErr w:type="gramStart"/>
      <w:r w:rsidR="005E7E87" w:rsidRPr="005E7E87">
        <w:rPr>
          <w:rFonts w:ascii="Times New Roman" w:hAnsi="Times New Roman" w:cs="Times New Roman"/>
        </w:rPr>
        <w:t>on the basis of</w:t>
      </w:r>
      <w:proofErr w:type="gramEnd"/>
      <w:r w:rsidR="005E7E87" w:rsidRPr="005E7E87">
        <w:rPr>
          <w:rFonts w:ascii="Times New Roman" w:hAnsi="Times New Roman" w:cs="Times New Roman"/>
        </w:rPr>
        <w:t xml:space="preserve"> functionality. Instead, the Court compared the overall claimed design to the corresponding overall appearance of the accused utensil.</w:t>
      </w:r>
    </w:p>
    <w:p w14:paraId="278F5FBA" w14:textId="6EEBF216" w:rsidR="005B1962" w:rsidRPr="005B1962" w:rsidRDefault="005B1962" w:rsidP="004A2346">
      <w:pPr>
        <w:jc w:val="center"/>
        <w:rPr>
          <w:rFonts w:ascii="Times New Roman" w:hAnsi="Times New Roman" w:cs="Times New Roman"/>
        </w:rPr>
      </w:pPr>
      <w:r w:rsidRPr="005B1962">
        <w:rPr>
          <w:rFonts w:ascii="Times New Roman" w:hAnsi="Times New Roman" w:cs="Times New Roman"/>
        </w:rPr>
        <w:t> </w:t>
      </w:r>
      <w:r w:rsidR="007A658A">
        <w:rPr>
          <w:rFonts w:ascii="Times New Roman" w:hAnsi="Times New Roman" w:cs="Times New Roman"/>
          <w:noProof/>
        </w:rPr>
        <w:drawing>
          <wp:inline distT="0" distB="0" distL="0" distR="0" wp14:anchorId="36CFB160" wp14:editId="1257715E">
            <wp:extent cx="4469313" cy="3586274"/>
            <wp:effectExtent l="0" t="0" r="0" b="0"/>
            <wp:docPr id="332180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7655" cy="3592968"/>
                    </a:xfrm>
                    <a:prstGeom prst="rect">
                      <a:avLst/>
                    </a:prstGeom>
                    <a:noFill/>
                  </pic:spPr>
                </pic:pic>
              </a:graphicData>
            </a:graphic>
          </wp:inline>
        </w:drawing>
      </w:r>
    </w:p>
    <w:p w14:paraId="7D98BF11" w14:textId="1B7C7648" w:rsidR="00897A58" w:rsidRDefault="00531F2C" w:rsidP="004A2346">
      <w:pPr>
        <w:jc w:val="both"/>
      </w:pPr>
      <w:r w:rsidRPr="00531F2C">
        <w:rPr>
          <w:rFonts w:ascii="Times New Roman" w:hAnsi="Times New Roman" w:cs="Times New Roman"/>
        </w:rPr>
        <w:t xml:space="preserve">The </w:t>
      </w:r>
      <w:r w:rsidRPr="00531F2C">
        <w:rPr>
          <w:rFonts w:ascii="Times New Roman" w:hAnsi="Times New Roman" w:cs="Times New Roman"/>
          <w:i/>
          <w:iCs/>
        </w:rPr>
        <w:t>Range of Motion</w:t>
      </w:r>
      <w:r w:rsidRPr="00531F2C">
        <w:rPr>
          <w:rFonts w:ascii="Times New Roman" w:hAnsi="Times New Roman" w:cs="Times New Roman"/>
        </w:rPr>
        <w:t xml:space="preserve"> decision thus highlights an ongoing tension in Federal Circuit design patent jurisprudence between early judicial resolution and the traditional role of juries in resolving genuine disputes of material fact concerning infringement. The divide reflected in </w:t>
      </w:r>
      <w:r w:rsidRPr="00531F2C">
        <w:rPr>
          <w:rFonts w:ascii="Times New Roman" w:hAnsi="Times New Roman" w:cs="Times New Roman"/>
          <w:i/>
          <w:iCs/>
        </w:rPr>
        <w:t xml:space="preserve">Range of Motion v. </w:t>
      </w:r>
      <w:proofErr w:type="spellStart"/>
      <w:r w:rsidRPr="00531F2C">
        <w:rPr>
          <w:rFonts w:ascii="Times New Roman" w:hAnsi="Times New Roman" w:cs="Times New Roman"/>
          <w:i/>
          <w:iCs/>
        </w:rPr>
        <w:t>Armaid</w:t>
      </w:r>
      <w:proofErr w:type="spellEnd"/>
      <w:r w:rsidRPr="00531F2C">
        <w:rPr>
          <w:rFonts w:ascii="Times New Roman" w:hAnsi="Times New Roman" w:cs="Times New Roman"/>
        </w:rPr>
        <w:t xml:space="preserve">, together with recent decisions such as </w:t>
      </w:r>
      <w:r w:rsidRPr="00531F2C">
        <w:rPr>
          <w:rFonts w:ascii="Times New Roman" w:hAnsi="Times New Roman" w:cs="Times New Roman"/>
          <w:i/>
          <w:iCs/>
        </w:rPr>
        <w:t>North Star Technology International Ltd. v. Latham Pool Products, Inc.</w:t>
      </w:r>
      <w:r w:rsidRPr="00531F2C">
        <w:rPr>
          <w:rFonts w:ascii="Times New Roman" w:hAnsi="Times New Roman" w:cs="Times New Roman"/>
        </w:rPr>
        <w:t xml:space="preserve">, </w:t>
      </w:r>
      <w:r w:rsidR="00DD07C9" w:rsidRPr="00DD07C9">
        <w:rPr>
          <w:rFonts w:ascii="Times New Roman" w:hAnsi="Times New Roman" w:cs="Times New Roman"/>
        </w:rPr>
        <w:t>No. 23-2138, 2025 WL 1189919, at *1–2 (Fed. Cir. Apr. 24, 2025)</w:t>
      </w:r>
      <w:r w:rsidR="00DD07C9">
        <w:rPr>
          <w:rFonts w:ascii="Times New Roman" w:hAnsi="Times New Roman" w:cs="Times New Roman"/>
        </w:rPr>
        <w:t xml:space="preserve">, </w:t>
      </w:r>
      <w:r w:rsidRPr="00531F2C">
        <w:rPr>
          <w:rFonts w:ascii="Times New Roman" w:hAnsi="Times New Roman" w:cs="Times New Roman"/>
        </w:rPr>
        <w:t>suggests that further clarification</w:t>
      </w:r>
      <w:r>
        <w:rPr>
          <w:rFonts w:ascii="Times New Roman" w:hAnsi="Times New Roman" w:cs="Times New Roman"/>
        </w:rPr>
        <w:t xml:space="preserve">, </w:t>
      </w:r>
      <w:r w:rsidRPr="00531F2C">
        <w:rPr>
          <w:rFonts w:ascii="Times New Roman" w:hAnsi="Times New Roman" w:cs="Times New Roman"/>
        </w:rPr>
        <w:t xml:space="preserve">potentially through </w:t>
      </w:r>
      <w:proofErr w:type="spellStart"/>
      <w:r w:rsidRPr="00CD1C36">
        <w:rPr>
          <w:rFonts w:ascii="Times New Roman" w:hAnsi="Times New Roman" w:cs="Times New Roman"/>
          <w:i/>
          <w:iCs/>
        </w:rPr>
        <w:t>en</w:t>
      </w:r>
      <w:proofErr w:type="spellEnd"/>
      <w:r w:rsidRPr="00CD1C36">
        <w:rPr>
          <w:rFonts w:ascii="Times New Roman" w:hAnsi="Times New Roman" w:cs="Times New Roman"/>
          <w:i/>
          <w:iCs/>
        </w:rPr>
        <w:t xml:space="preserve"> banc</w:t>
      </w:r>
      <w:r w:rsidRPr="00531F2C">
        <w:rPr>
          <w:rFonts w:ascii="Times New Roman" w:hAnsi="Times New Roman" w:cs="Times New Roman"/>
        </w:rPr>
        <w:t xml:space="preserve"> review or Supreme Court intervention</w:t>
      </w:r>
      <w:r>
        <w:rPr>
          <w:rFonts w:ascii="Times New Roman" w:hAnsi="Times New Roman" w:cs="Times New Roman"/>
        </w:rPr>
        <w:t>, is desperately</w:t>
      </w:r>
      <w:r w:rsidRPr="005B1962">
        <w:rPr>
          <w:rFonts w:ascii="Times New Roman" w:hAnsi="Times New Roman" w:cs="Times New Roman"/>
        </w:rPr>
        <w:t xml:space="preserve"> needed.</w:t>
      </w:r>
    </w:p>
    <w:sectPr w:rsidR="00897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62"/>
    <w:rsid w:val="00030C2A"/>
    <w:rsid w:val="00051CC3"/>
    <w:rsid w:val="000667E4"/>
    <w:rsid w:val="000D0B8A"/>
    <w:rsid w:val="001D67B7"/>
    <w:rsid w:val="00213749"/>
    <w:rsid w:val="00341C25"/>
    <w:rsid w:val="003A1238"/>
    <w:rsid w:val="003C2703"/>
    <w:rsid w:val="003D2E50"/>
    <w:rsid w:val="003F07F4"/>
    <w:rsid w:val="004642A3"/>
    <w:rsid w:val="004A2346"/>
    <w:rsid w:val="00531F2C"/>
    <w:rsid w:val="00542097"/>
    <w:rsid w:val="005A4749"/>
    <w:rsid w:val="005B1962"/>
    <w:rsid w:val="005C1776"/>
    <w:rsid w:val="005E7E87"/>
    <w:rsid w:val="00614D84"/>
    <w:rsid w:val="0063402C"/>
    <w:rsid w:val="00671790"/>
    <w:rsid w:val="006B0B1F"/>
    <w:rsid w:val="006C150D"/>
    <w:rsid w:val="006D2994"/>
    <w:rsid w:val="006F55BF"/>
    <w:rsid w:val="00701D98"/>
    <w:rsid w:val="00705B9B"/>
    <w:rsid w:val="007A658A"/>
    <w:rsid w:val="007E7466"/>
    <w:rsid w:val="00843064"/>
    <w:rsid w:val="00871D15"/>
    <w:rsid w:val="00897A58"/>
    <w:rsid w:val="009631DC"/>
    <w:rsid w:val="009716E7"/>
    <w:rsid w:val="009B0702"/>
    <w:rsid w:val="009B15E7"/>
    <w:rsid w:val="009B1762"/>
    <w:rsid w:val="00A523CF"/>
    <w:rsid w:val="00AB2960"/>
    <w:rsid w:val="00AC7B3F"/>
    <w:rsid w:val="00B67E13"/>
    <w:rsid w:val="00B9296C"/>
    <w:rsid w:val="00C12D79"/>
    <w:rsid w:val="00C40A16"/>
    <w:rsid w:val="00C4318D"/>
    <w:rsid w:val="00CD1C36"/>
    <w:rsid w:val="00D31830"/>
    <w:rsid w:val="00DC1A94"/>
    <w:rsid w:val="00DD07C9"/>
    <w:rsid w:val="00DD5A6F"/>
    <w:rsid w:val="00DE082F"/>
    <w:rsid w:val="00E111C8"/>
    <w:rsid w:val="00E43A62"/>
    <w:rsid w:val="00E50216"/>
    <w:rsid w:val="00EC0795"/>
    <w:rsid w:val="00F63359"/>
    <w:rsid w:val="00F67A6E"/>
    <w:rsid w:val="00F920F5"/>
    <w:rsid w:val="00FC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61B0"/>
  <w15:chartTrackingRefBased/>
  <w15:docId w15:val="{CA2BD572-4AF1-4BCD-8948-83667F15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962"/>
    <w:rPr>
      <w:rFonts w:eastAsiaTheme="majorEastAsia" w:cstheme="majorBidi"/>
      <w:color w:val="272727" w:themeColor="text1" w:themeTint="D8"/>
    </w:rPr>
  </w:style>
  <w:style w:type="paragraph" w:styleId="Title">
    <w:name w:val="Title"/>
    <w:basedOn w:val="Normal"/>
    <w:next w:val="Normal"/>
    <w:link w:val="TitleChar"/>
    <w:uiPriority w:val="10"/>
    <w:qFormat/>
    <w:rsid w:val="005B1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962"/>
    <w:pPr>
      <w:spacing w:before="160"/>
      <w:jc w:val="center"/>
    </w:pPr>
    <w:rPr>
      <w:i/>
      <w:iCs/>
      <w:color w:val="404040" w:themeColor="text1" w:themeTint="BF"/>
    </w:rPr>
  </w:style>
  <w:style w:type="character" w:customStyle="1" w:styleId="QuoteChar">
    <w:name w:val="Quote Char"/>
    <w:basedOn w:val="DefaultParagraphFont"/>
    <w:link w:val="Quote"/>
    <w:uiPriority w:val="29"/>
    <w:rsid w:val="005B1962"/>
    <w:rPr>
      <w:i/>
      <w:iCs/>
      <w:color w:val="404040" w:themeColor="text1" w:themeTint="BF"/>
    </w:rPr>
  </w:style>
  <w:style w:type="paragraph" w:styleId="ListParagraph">
    <w:name w:val="List Paragraph"/>
    <w:basedOn w:val="Normal"/>
    <w:uiPriority w:val="34"/>
    <w:qFormat/>
    <w:rsid w:val="005B1962"/>
    <w:pPr>
      <w:ind w:left="720"/>
      <w:contextualSpacing/>
    </w:pPr>
  </w:style>
  <w:style w:type="character" w:styleId="IntenseEmphasis">
    <w:name w:val="Intense Emphasis"/>
    <w:basedOn w:val="DefaultParagraphFont"/>
    <w:uiPriority w:val="21"/>
    <w:qFormat/>
    <w:rsid w:val="005B1962"/>
    <w:rPr>
      <w:i/>
      <w:iCs/>
      <w:color w:val="0F4761" w:themeColor="accent1" w:themeShade="BF"/>
    </w:rPr>
  </w:style>
  <w:style w:type="paragraph" w:styleId="IntenseQuote">
    <w:name w:val="Intense Quote"/>
    <w:basedOn w:val="Normal"/>
    <w:next w:val="Normal"/>
    <w:link w:val="IntenseQuoteChar"/>
    <w:uiPriority w:val="30"/>
    <w:qFormat/>
    <w:rsid w:val="005B1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962"/>
    <w:rPr>
      <w:i/>
      <w:iCs/>
      <w:color w:val="0F4761" w:themeColor="accent1" w:themeShade="BF"/>
    </w:rPr>
  </w:style>
  <w:style w:type="character" w:styleId="IntenseReference">
    <w:name w:val="Intense Reference"/>
    <w:basedOn w:val="DefaultParagraphFont"/>
    <w:uiPriority w:val="32"/>
    <w:qFormat/>
    <w:rsid w:val="005B1962"/>
    <w:rPr>
      <w:b/>
      <w:bCs/>
      <w:smallCaps/>
      <w:color w:val="0F4761" w:themeColor="accent1" w:themeShade="BF"/>
      <w:spacing w:val="5"/>
    </w:rPr>
  </w:style>
  <w:style w:type="paragraph" w:styleId="Revision">
    <w:name w:val="Revision"/>
    <w:hidden/>
    <w:uiPriority w:val="99"/>
    <w:semiHidden/>
    <w:rsid w:val="0063402C"/>
    <w:pPr>
      <w:spacing w:after="0" w:line="240" w:lineRule="auto"/>
    </w:pPr>
  </w:style>
  <w:style w:type="character" w:styleId="CommentReference">
    <w:name w:val="annotation reference"/>
    <w:basedOn w:val="DefaultParagraphFont"/>
    <w:uiPriority w:val="99"/>
    <w:semiHidden/>
    <w:unhideWhenUsed/>
    <w:rsid w:val="00F67A6E"/>
    <w:rPr>
      <w:sz w:val="16"/>
      <w:szCs w:val="16"/>
    </w:rPr>
  </w:style>
  <w:style w:type="paragraph" w:styleId="CommentText">
    <w:name w:val="annotation text"/>
    <w:basedOn w:val="Normal"/>
    <w:link w:val="CommentTextChar"/>
    <w:uiPriority w:val="99"/>
    <w:unhideWhenUsed/>
    <w:rsid w:val="00F67A6E"/>
    <w:pPr>
      <w:spacing w:line="240" w:lineRule="auto"/>
    </w:pPr>
    <w:rPr>
      <w:sz w:val="20"/>
      <w:szCs w:val="20"/>
    </w:rPr>
  </w:style>
  <w:style w:type="character" w:customStyle="1" w:styleId="CommentTextChar">
    <w:name w:val="Comment Text Char"/>
    <w:basedOn w:val="DefaultParagraphFont"/>
    <w:link w:val="CommentText"/>
    <w:uiPriority w:val="99"/>
    <w:rsid w:val="00F67A6E"/>
    <w:rPr>
      <w:sz w:val="20"/>
      <w:szCs w:val="20"/>
    </w:rPr>
  </w:style>
  <w:style w:type="paragraph" w:styleId="CommentSubject">
    <w:name w:val="annotation subject"/>
    <w:basedOn w:val="CommentText"/>
    <w:next w:val="CommentText"/>
    <w:link w:val="CommentSubjectChar"/>
    <w:uiPriority w:val="99"/>
    <w:semiHidden/>
    <w:unhideWhenUsed/>
    <w:rsid w:val="00C4318D"/>
    <w:rPr>
      <w:b/>
      <w:bCs/>
    </w:rPr>
  </w:style>
  <w:style w:type="character" w:customStyle="1" w:styleId="CommentSubjectChar">
    <w:name w:val="Comment Subject Char"/>
    <w:basedOn w:val="CommentTextChar"/>
    <w:link w:val="CommentSubject"/>
    <w:uiPriority w:val="99"/>
    <w:semiHidden/>
    <w:rsid w:val="00C43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Ruben</dc:creator>
  <cp:keywords/>
  <dc:description/>
  <cp:lastModifiedBy>Amelia  R. Tonner</cp:lastModifiedBy>
  <cp:revision>4</cp:revision>
  <dcterms:created xsi:type="dcterms:W3CDTF">2026-02-11T14:33:00Z</dcterms:created>
  <dcterms:modified xsi:type="dcterms:W3CDTF">2026-02-11T14:41:00Z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11ac8a60-da3b-48e3-b9ff-412912159706</vt:lpwstr>
  </property>
</Properties>
</file>